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8C" w:rsidRPr="00950297" w:rsidRDefault="00021E8C"/>
    <w:tbl>
      <w:tblPr>
        <w:tblStyle w:val="Tabel-Gitter"/>
        <w:tblW w:w="9923"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647"/>
        <w:gridCol w:w="1276"/>
      </w:tblGrid>
      <w:tr w:rsidR="00021E8C" w:rsidRPr="00950297" w:rsidTr="00950297">
        <w:trPr>
          <w:cantSplit/>
          <w:trHeight w:val="504"/>
        </w:trPr>
        <w:tc>
          <w:tcPr>
            <w:tcW w:w="8647" w:type="dxa"/>
          </w:tcPr>
          <w:p w:rsidR="007B2F76" w:rsidRDefault="007B2F76" w:rsidP="00541D1B">
            <w:pPr>
              <w:pStyle w:val="DocumentHeading"/>
            </w:pPr>
          </w:p>
          <w:p w:rsidR="007B2F76" w:rsidRDefault="007B2F76" w:rsidP="00541D1B">
            <w:pPr>
              <w:pStyle w:val="DocumentHeading"/>
            </w:pPr>
          </w:p>
          <w:p w:rsidR="007B2F76" w:rsidRDefault="007B2F76" w:rsidP="00541D1B">
            <w:pPr>
              <w:pStyle w:val="DocumentHeading"/>
            </w:pPr>
          </w:p>
          <w:p w:rsidR="007B2F76" w:rsidRDefault="007B2F76" w:rsidP="00541D1B">
            <w:pPr>
              <w:pStyle w:val="DocumentHeading"/>
            </w:pPr>
          </w:p>
          <w:p w:rsidR="007B2F76" w:rsidRDefault="007B2F76" w:rsidP="00541D1B">
            <w:pPr>
              <w:pStyle w:val="DocumentHeading"/>
            </w:pPr>
          </w:p>
          <w:p w:rsidR="00541D1B" w:rsidRPr="00950297" w:rsidRDefault="00541D1B" w:rsidP="00541D1B">
            <w:pPr>
              <w:pStyle w:val="DocumentHeading"/>
            </w:pPr>
            <w:r w:rsidRPr="00950297">
              <w:t xml:space="preserve"> </w:t>
            </w:r>
            <w:r w:rsidR="00950297">
              <w:t xml:space="preserve">Referat fra møde i Udvalget for </w:t>
            </w:r>
            <w:r w:rsidR="006F250B">
              <w:t>p</w:t>
            </w:r>
            <w:r w:rsidR="00950297">
              <w:t xml:space="preserve">lantesorter og </w:t>
            </w:r>
            <w:r w:rsidR="006F250B">
              <w:t>u</w:t>
            </w:r>
            <w:r w:rsidR="00950297">
              <w:t>dsæd</w:t>
            </w:r>
            <w:r w:rsidR="00174E32">
              <w:t xml:space="preserve"> (UPU)</w:t>
            </w:r>
            <w:bookmarkStart w:id="0" w:name="_GoBack"/>
            <w:bookmarkEnd w:id="0"/>
            <w:r w:rsidR="00950297">
              <w:t xml:space="preserve"> </w:t>
            </w:r>
            <w:r w:rsidR="006F250B">
              <w:t>3. maj 2018</w:t>
            </w:r>
          </w:p>
          <w:p w:rsidR="00541D1B" w:rsidRPr="00950297" w:rsidRDefault="00541D1B" w:rsidP="00541D1B"/>
        </w:tc>
        <w:tc>
          <w:tcPr>
            <w:tcW w:w="1276" w:type="dxa"/>
          </w:tcPr>
          <w:p w:rsidR="00541D1B" w:rsidRPr="00950297" w:rsidRDefault="00541D1B" w:rsidP="00557A69"/>
        </w:tc>
      </w:tr>
    </w:tbl>
    <w:p w:rsidR="00147799" w:rsidRPr="00950297" w:rsidRDefault="004F2491" w:rsidP="00147799">
      <w:pPr>
        <w:pStyle w:val="Overskrift1"/>
      </w:pPr>
      <w:r>
        <w:t>Deltagere</w:t>
      </w:r>
    </w:p>
    <w:p w:rsidR="00775306" w:rsidRDefault="004F2491" w:rsidP="00021E8C">
      <w:r>
        <w:rPr>
          <w:rStyle w:val="ParadigmeKommentar"/>
          <w:color w:val="auto"/>
          <w:sz w:val="20"/>
        </w:rPr>
        <w:t>Ole Olsen (</w:t>
      </w:r>
      <w:r w:rsidR="007B2F76">
        <w:rPr>
          <w:rStyle w:val="ParadigmeKommentar"/>
          <w:color w:val="auto"/>
          <w:sz w:val="20"/>
        </w:rPr>
        <w:t xml:space="preserve">OOL, </w:t>
      </w:r>
      <w:r>
        <w:rPr>
          <w:rStyle w:val="ParadigmeKommentar"/>
          <w:color w:val="auto"/>
          <w:sz w:val="20"/>
        </w:rPr>
        <w:t xml:space="preserve">formand), </w:t>
      </w:r>
      <w:r w:rsidR="00132571">
        <w:rPr>
          <w:rStyle w:val="ParadigmeKommentar"/>
          <w:color w:val="auto"/>
          <w:sz w:val="20"/>
        </w:rPr>
        <w:t>Claus Bech</w:t>
      </w:r>
      <w:r w:rsidR="007B2F76">
        <w:rPr>
          <w:rStyle w:val="ParadigmeKommentar"/>
          <w:color w:val="auto"/>
          <w:sz w:val="20"/>
        </w:rPr>
        <w:t xml:space="preserve"> (CB)</w:t>
      </w:r>
      <w:r w:rsidR="00132571">
        <w:rPr>
          <w:rStyle w:val="ParadigmeKommentar"/>
          <w:color w:val="auto"/>
          <w:sz w:val="20"/>
        </w:rPr>
        <w:t xml:space="preserve">, </w:t>
      </w:r>
      <w:r w:rsidR="006F250B">
        <w:rPr>
          <w:rStyle w:val="ParadigmeKommentar"/>
          <w:color w:val="auto"/>
          <w:sz w:val="20"/>
        </w:rPr>
        <w:t xml:space="preserve">Lasse </w:t>
      </w:r>
      <w:proofErr w:type="spellStart"/>
      <w:r w:rsidR="006F250B">
        <w:rPr>
          <w:rStyle w:val="ParadigmeKommentar"/>
          <w:color w:val="auto"/>
          <w:sz w:val="20"/>
        </w:rPr>
        <w:t>Skovlund</w:t>
      </w:r>
      <w:proofErr w:type="spellEnd"/>
      <w:r w:rsidR="006F250B">
        <w:rPr>
          <w:rStyle w:val="ParadigmeKommentar"/>
          <w:color w:val="auto"/>
          <w:sz w:val="20"/>
        </w:rPr>
        <w:t xml:space="preserve"> Bech</w:t>
      </w:r>
      <w:r w:rsidR="007B2F76">
        <w:rPr>
          <w:rStyle w:val="ParadigmeKommentar"/>
          <w:color w:val="auto"/>
          <w:sz w:val="20"/>
        </w:rPr>
        <w:t xml:space="preserve"> (LSB)</w:t>
      </w:r>
      <w:r w:rsidR="006F250B">
        <w:rPr>
          <w:rStyle w:val="ParadigmeKommentar"/>
          <w:color w:val="auto"/>
          <w:sz w:val="20"/>
        </w:rPr>
        <w:t>, Birte Boelt</w:t>
      </w:r>
      <w:r w:rsidR="007B2F76">
        <w:rPr>
          <w:rStyle w:val="ParadigmeKommentar"/>
          <w:color w:val="auto"/>
          <w:sz w:val="20"/>
        </w:rPr>
        <w:t xml:space="preserve"> (BB)</w:t>
      </w:r>
      <w:r w:rsidR="006F250B">
        <w:rPr>
          <w:rStyle w:val="ParadigmeKommentar"/>
          <w:color w:val="auto"/>
          <w:sz w:val="20"/>
        </w:rPr>
        <w:t>,</w:t>
      </w:r>
      <w:r w:rsidR="006F250B" w:rsidRPr="006F250B">
        <w:rPr>
          <w:rStyle w:val="ParadigmeKommentar"/>
          <w:color w:val="auto"/>
          <w:sz w:val="20"/>
        </w:rPr>
        <w:t xml:space="preserve"> </w:t>
      </w:r>
      <w:r w:rsidR="00132571">
        <w:rPr>
          <w:rStyle w:val="ParadigmeKommentar"/>
          <w:color w:val="auto"/>
          <w:sz w:val="20"/>
        </w:rPr>
        <w:t>Asbjørn Børsting</w:t>
      </w:r>
      <w:r w:rsidR="007B2F76">
        <w:rPr>
          <w:rStyle w:val="ParadigmeKommentar"/>
          <w:color w:val="auto"/>
          <w:sz w:val="20"/>
        </w:rPr>
        <w:t xml:space="preserve"> (AB)</w:t>
      </w:r>
      <w:r w:rsidR="00132571">
        <w:rPr>
          <w:rStyle w:val="ParadigmeKommentar"/>
          <w:color w:val="auto"/>
          <w:sz w:val="20"/>
        </w:rPr>
        <w:t xml:space="preserve">, </w:t>
      </w:r>
      <w:r w:rsidR="00132571">
        <w:t xml:space="preserve">Gerhard </w:t>
      </w:r>
      <w:proofErr w:type="spellStart"/>
      <w:r w:rsidR="00132571">
        <w:t>Deneken</w:t>
      </w:r>
      <w:proofErr w:type="spellEnd"/>
      <w:r w:rsidR="007B2F76">
        <w:t xml:space="preserve"> (GDE)</w:t>
      </w:r>
      <w:r w:rsidR="00132571">
        <w:t xml:space="preserve">, </w:t>
      </w:r>
      <w:r w:rsidR="006F250B">
        <w:t>Nils Elmegaard</w:t>
      </w:r>
      <w:r w:rsidR="007B2F76">
        <w:t xml:space="preserve"> (NEM)</w:t>
      </w:r>
      <w:r w:rsidR="006F250B">
        <w:t>,</w:t>
      </w:r>
      <w:r w:rsidR="006F250B">
        <w:rPr>
          <w:rStyle w:val="ParadigmeKommentar"/>
          <w:color w:val="auto"/>
          <w:sz w:val="20"/>
        </w:rPr>
        <w:t xml:space="preserve"> </w:t>
      </w:r>
      <w:r w:rsidR="00132571">
        <w:rPr>
          <w:rStyle w:val="ParadigmeKommentar"/>
          <w:color w:val="auto"/>
          <w:sz w:val="20"/>
        </w:rPr>
        <w:t>Birger Eriksen</w:t>
      </w:r>
      <w:r w:rsidR="007B2F76">
        <w:rPr>
          <w:rStyle w:val="ParadigmeKommentar"/>
          <w:color w:val="auto"/>
          <w:sz w:val="20"/>
        </w:rPr>
        <w:t xml:space="preserve"> (BE)</w:t>
      </w:r>
      <w:r w:rsidR="00132571">
        <w:rPr>
          <w:rStyle w:val="ParadigmeKommentar"/>
          <w:color w:val="auto"/>
          <w:sz w:val="20"/>
        </w:rPr>
        <w:t xml:space="preserve">, </w:t>
      </w:r>
      <w:r w:rsidR="006F250B">
        <w:rPr>
          <w:rStyle w:val="ParadigmeKommentar"/>
          <w:color w:val="auto"/>
          <w:sz w:val="20"/>
        </w:rPr>
        <w:t>Anne Esther Fabricius</w:t>
      </w:r>
      <w:r w:rsidR="007B2F76">
        <w:rPr>
          <w:rStyle w:val="ParadigmeKommentar"/>
          <w:color w:val="auto"/>
          <w:sz w:val="20"/>
        </w:rPr>
        <w:t xml:space="preserve"> (AEF)</w:t>
      </w:r>
      <w:r w:rsidR="006F250B">
        <w:rPr>
          <w:rStyle w:val="ParadigmeKommentar"/>
          <w:color w:val="auto"/>
          <w:sz w:val="20"/>
        </w:rPr>
        <w:t xml:space="preserve">, </w:t>
      </w:r>
      <w:r w:rsidR="00132571">
        <w:t>Anders Lund</w:t>
      </w:r>
      <w:r w:rsidR="007B2F76">
        <w:t xml:space="preserve"> (AL)</w:t>
      </w:r>
      <w:r w:rsidR="00132571">
        <w:t xml:space="preserve">, </w:t>
      </w:r>
      <w:r w:rsidR="00132571">
        <w:rPr>
          <w:rStyle w:val="ParadigmeKommentar"/>
          <w:color w:val="auto"/>
          <w:sz w:val="20"/>
        </w:rPr>
        <w:t xml:space="preserve">Anders Mondrup </w:t>
      </w:r>
      <w:r w:rsidR="007B2F76">
        <w:rPr>
          <w:rStyle w:val="ParadigmeKommentar"/>
          <w:color w:val="auto"/>
          <w:sz w:val="20"/>
        </w:rPr>
        <w:t>(AM)</w:t>
      </w:r>
      <w:r w:rsidR="00226FD2">
        <w:rPr>
          <w:rStyle w:val="ParadigmeKommentar"/>
          <w:color w:val="auto"/>
          <w:sz w:val="20"/>
        </w:rPr>
        <w:t>,</w:t>
      </w:r>
      <w:r w:rsidR="006F250B">
        <w:rPr>
          <w:rStyle w:val="ParadigmeKommentar"/>
          <w:color w:val="auto"/>
          <w:sz w:val="20"/>
        </w:rPr>
        <w:t xml:space="preserve"> Jon Birger Pedersen</w:t>
      </w:r>
      <w:r w:rsidR="007B2F76">
        <w:rPr>
          <w:rStyle w:val="ParadigmeKommentar"/>
          <w:color w:val="auto"/>
          <w:sz w:val="20"/>
        </w:rPr>
        <w:t xml:space="preserve"> (JBP)</w:t>
      </w:r>
      <w:r w:rsidR="00226FD2">
        <w:rPr>
          <w:rStyle w:val="ParadigmeKommentar"/>
          <w:color w:val="auto"/>
          <w:sz w:val="20"/>
        </w:rPr>
        <w:t xml:space="preserve"> og Simon von </w:t>
      </w:r>
      <w:proofErr w:type="spellStart"/>
      <w:r w:rsidR="00226FD2">
        <w:rPr>
          <w:rStyle w:val="ParadigmeKommentar"/>
          <w:color w:val="auto"/>
          <w:sz w:val="20"/>
        </w:rPr>
        <w:t>Siebenthal</w:t>
      </w:r>
      <w:proofErr w:type="spellEnd"/>
      <w:r w:rsidR="00226FD2">
        <w:rPr>
          <w:rStyle w:val="ParadigmeKommentar"/>
          <w:color w:val="auto"/>
          <w:sz w:val="20"/>
        </w:rPr>
        <w:t xml:space="preserve"> (SVS)</w:t>
      </w:r>
      <w:r w:rsidR="00775306">
        <w:t>.</w:t>
      </w:r>
    </w:p>
    <w:p w:rsidR="00775306" w:rsidRDefault="00775306" w:rsidP="00021E8C"/>
    <w:p w:rsidR="00021E8C" w:rsidRPr="00950297" w:rsidRDefault="00775306" w:rsidP="00021E8C">
      <w:r>
        <w:t xml:space="preserve">Fra LFST deltog </w:t>
      </w:r>
      <w:r w:rsidR="004F2491">
        <w:t>Kristine Riskær</w:t>
      </w:r>
      <w:r w:rsidR="007B2F76">
        <w:t xml:space="preserve"> (KRRI)</w:t>
      </w:r>
      <w:r w:rsidR="004F2491">
        <w:t>, Kristine Bech Klindt</w:t>
      </w:r>
      <w:r w:rsidR="007B2F76">
        <w:t xml:space="preserve"> (KBK)</w:t>
      </w:r>
      <w:r w:rsidR="00132571">
        <w:t>, Maria Boye Simonsen</w:t>
      </w:r>
      <w:r w:rsidR="004F2491">
        <w:t xml:space="preserve"> </w:t>
      </w:r>
      <w:r w:rsidR="007B2F76">
        <w:t xml:space="preserve">(MBS) </w:t>
      </w:r>
      <w:r w:rsidR="004F2491">
        <w:t xml:space="preserve">og Merete Buus </w:t>
      </w:r>
      <w:r w:rsidR="007B2F76">
        <w:t xml:space="preserve">(MEB, </w:t>
      </w:r>
      <w:r w:rsidR="004F2491">
        <w:t>referent).</w:t>
      </w:r>
      <w:r w:rsidR="00132571">
        <w:t xml:space="preserve"> Sara Melhedegård Mørch</w:t>
      </w:r>
      <w:r w:rsidR="007B2F76">
        <w:t xml:space="preserve"> (SMM)</w:t>
      </w:r>
      <w:r w:rsidR="00132571">
        <w:t xml:space="preserve"> deltog under pkt. 4 og Lars Landbo </w:t>
      </w:r>
      <w:r w:rsidR="007B2F76">
        <w:t xml:space="preserve">(LBO) </w:t>
      </w:r>
      <w:r w:rsidR="00132571">
        <w:t>under pkt. 3 f).</w:t>
      </w:r>
    </w:p>
    <w:p w:rsidR="00F44CF6" w:rsidRPr="00950297" w:rsidRDefault="00775306" w:rsidP="00F44CF6">
      <w:pPr>
        <w:pStyle w:val="Overskrift1"/>
      </w:pPr>
      <w:r>
        <w:t>Afbud</w:t>
      </w:r>
    </w:p>
    <w:p w:rsidR="00F44CF6" w:rsidRPr="00950297" w:rsidRDefault="006F250B" w:rsidP="00F44CF6">
      <w:pPr>
        <w:rPr>
          <w:rStyle w:val="ParadigmeKommentar"/>
          <w:color w:val="auto"/>
          <w:sz w:val="20"/>
        </w:rPr>
      </w:pPr>
      <w:r>
        <w:rPr>
          <w:rStyle w:val="ParadigmeKommentar"/>
          <w:color w:val="auto"/>
          <w:sz w:val="20"/>
        </w:rPr>
        <w:t>Lars Bonde Eriksen, Jens Holstborg, Thor Gunnar Kofoed</w:t>
      </w:r>
      <w:r w:rsidR="00132571">
        <w:rPr>
          <w:rStyle w:val="ParadigmeKommentar"/>
          <w:color w:val="auto"/>
          <w:sz w:val="20"/>
        </w:rPr>
        <w:t xml:space="preserve"> og</w:t>
      </w:r>
      <w:r w:rsidR="004F2491">
        <w:rPr>
          <w:rStyle w:val="ParadigmeKommentar"/>
          <w:color w:val="auto"/>
          <w:sz w:val="20"/>
        </w:rPr>
        <w:t xml:space="preserve"> </w:t>
      </w:r>
      <w:r>
        <w:t>Kim Bonde Petersen</w:t>
      </w:r>
      <w:r w:rsidR="004F2491">
        <w:rPr>
          <w:rStyle w:val="ParadigmeKommentar"/>
          <w:color w:val="auto"/>
          <w:sz w:val="20"/>
        </w:rPr>
        <w:t>.</w:t>
      </w:r>
    </w:p>
    <w:p w:rsidR="00021E8C" w:rsidRPr="00950297" w:rsidRDefault="00021E8C" w:rsidP="00F44CF6">
      <w:pPr>
        <w:rPr>
          <w:rStyle w:val="ParadigmeKommentar"/>
          <w:color w:val="auto"/>
          <w:sz w:val="20"/>
        </w:rPr>
      </w:pP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6095"/>
        <w:gridCol w:w="2504"/>
      </w:tblGrid>
      <w:tr w:rsidR="006F250B" w:rsidRPr="00D1544F" w:rsidTr="00174E32">
        <w:trPr>
          <w:trHeight w:val="454"/>
          <w:tblHeader/>
          <w:jc w:val="center"/>
        </w:trPr>
        <w:tc>
          <w:tcPr>
            <w:tcW w:w="5000" w:type="pct"/>
            <w:gridSpan w:val="3"/>
            <w:shd w:val="clear" w:color="auto" w:fill="003127"/>
            <w:vAlign w:val="center"/>
          </w:tcPr>
          <w:p w:rsidR="006F250B" w:rsidRPr="00D1544F" w:rsidRDefault="006F250B" w:rsidP="000C2CCB">
            <w:pPr>
              <w:rPr>
                <w:color w:val="FFFFFF"/>
              </w:rPr>
            </w:pPr>
            <w:r>
              <w:rPr>
                <w:color w:val="FFFFFF"/>
              </w:rPr>
              <w:t>Dagsorden for mødet</w:t>
            </w:r>
          </w:p>
        </w:tc>
      </w:tr>
      <w:tr w:rsidR="006F250B" w:rsidRPr="00D1544F" w:rsidTr="00174E32">
        <w:trPr>
          <w:trHeight w:val="397"/>
          <w:jc w:val="center"/>
        </w:trPr>
        <w:tc>
          <w:tcPr>
            <w:tcW w:w="378" w:type="pct"/>
            <w:vAlign w:val="center"/>
          </w:tcPr>
          <w:p w:rsidR="006F250B" w:rsidRPr="00D1544F" w:rsidRDefault="006F250B" w:rsidP="000C2CCB">
            <w:pPr>
              <w:rPr>
                <w:color w:val="000000"/>
              </w:rPr>
            </w:pPr>
            <w:r>
              <w:rPr>
                <w:color w:val="000000"/>
              </w:rPr>
              <w:t>1.</w:t>
            </w:r>
          </w:p>
        </w:tc>
        <w:tc>
          <w:tcPr>
            <w:tcW w:w="3276" w:type="pct"/>
            <w:vAlign w:val="center"/>
          </w:tcPr>
          <w:p w:rsidR="006F250B" w:rsidRDefault="006F250B" w:rsidP="000C2CCB">
            <w:pPr>
              <w:rPr>
                <w:color w:val="000000"/>
              </w:rPr>
            </w:pPr>
            <w:r>
              <w:rPr>
                <w:color w:val="000000"/>
              </w:rPr>
              <w:t>Meddelelser</w:t>
            </w:r>
          </w:p>
          <w:p w:rsidR="006F250B" w:rsidRPr="00A03763" w:rsidRDefault="006F250B" w:rsidP="000C2CCB">
            <w:pPr>
              <w:pStyle w:val="Listeafsnit"/>
              <w:numPr>
                <w:ilvl w:val="0"/>
                <w:numId w:val="15"/>
              </w:numPr>
              <w:spacing w:line="276" w:lineRule="auto"/>
              <w:rPr>
                <w:color w:val="000000"/>
              </w:rPr>
            </w:pPr>
            <w:r w:rsidRPr="00A03763">
              <w:rPr>
                <w:color w:val="000000"/>
              </w:rPr>
              <w:t>Landbrugsstyrelsen</w:t>
            </w:r>
            <w:r>
              <w:rPr>
                <w:color w:val="000000"/>
              </w:rPr>
              <w:t xml:space="preserve"> </w:t>
            </w:r>
          </w:p>
          <w:p w:rsidR="006F250B" w:rsidRPr="00A03763" w:rsidRDefault="006F250B" w:rsidP="000C2CCB">
            <w:pPr>
              <w:pStyle w:val="Listeafsnit"/>
              <w:numPr>
                <w:ilvl w:val="0"/>
                <w:numId w:val="15"/>
              </w:numPr>
              <w:spacing w:line="276" w:lineRule="auto"/>
              <w:rPr>
                <w:color w:val="000000"/>
              </w:rPr>
            </w:pPr>
            <w:proofErr w:type="spellStart"/>
            <w:r w:rsidRPr="00A03763">
              <w:rPr>
                <w:color w:val="000000"/>
              </w:rPr>
              <w:t>TystofteFonden</w:t>
            </w:r>
            <w:proofErr w:type="spellEnd"/>
          </w:p>
          <w:p w:rsidR="006F250B" w:rsidRPr="00A03763" w:rsidRDefault="006F250B" w:rsidP="000C2CCB">
            <w:pPr>
              <w:pStyle w:val="Listeafsnit"/>
              <w:numPr>
                <w:ilvl w:val="0"/>
                <w:numId w:val="15"/>
              </w:numPr>
              <w:spacing w:line="276" w:lineRule="auto"/>
              <w:rPr>
                <w:color w:val="000000"/>
              </w:rPr>
            </w:pPr>
            <w:r w:rsidRPr="00A03763">
              <w:rPr>
                <w:color w:val="000000"/>
              </w:rPr>
              <w:t>Medlemmerne</w:t>
            </w:r>
          </w:p>
        </w:tc>
        <w:tc>
          <w:tcPr>
            <w:tcW w:w="1345" w:type="pct"/>
            <w:vAlign w:val="center"/>
          </w:tcPr>
          <w:p w:rsidR="006F250B" w:rsidRPr="00D1544F" w:rsidRDefault="006F250B" w:rsidP="000C2CCB"/>
        </w:tc>
      </w:tr>
      <w:tr w:rsidR="006F250B" w:rsidTr="00174E32">
        <w:trPr>
          <w:trHeight w:val="397"/>
          <w:jc w:val="center"/>
        </w:trPr>
        <w:tc>
          <w:tcPr>
            <w:tcW w:w="378" w:type="pct"/>
            <w:vAlign w:val="center"/>
          </w:tcPr>
          <w:p w:rsidR="006F250B" w:rsidRDefault="006F250B" w:rsidP="000C2CCB">
            <w:pPr>
              <w:rPr>
                <w:color w:val="000000"/>
              </w:rPr>
            </w:pPr>
            <w:r>
              <w:rPr>
                <w:color w:val="000000"/>
              </w:rPr>
              <w:t>2.</w:t>
            </w:r>
          </w:p>
        </w:tc>
        <w:tc>
          <w:tcPr>
            <w:tcW w:w="3276" w:type="pct"/>
            <w:vAlign w:val="center"/>
          </w:tcPr>
          <w:p w:rsidR="006F250B" w:rsidRDefault="006F250B" w:rsidP="000C2CCB">
            <w:pPr>
              <w:rPr>
                <w:color w:val="000000"/>
              </w:rPr>
            </w:pPr>
            <w:r>
              <w:rPr>
                <w:color w:val="000000"/>
              </w:rPr>
              <w:t>Diverse plantenyhedsbeskyttelse og sortsafprøvning:</w:t>
            </w:r>
          </w:p>
          <w:p w:rsidR="006F250B" w:rsidRPr="00C702E9" w:rsidRDefault="006F250B" w:rsidP="000C2CCB">
            <w:pPr>
              <w:pStyle w:val="Listeafsnit"/>
              <w:numPr>
                <w:ilvl w:val="0"/>
                <w:numId w:val="17"/>
              </w:numPr>
              <w:spacing w:line="276" w:lineRule="auto"/>
            </w:pPr>
            <w:r w:rsidRPr="00C702E9">
              <w:rPr>
                <w:color w:val="000000"/>
              </w:rPr>
              <w:t xml:space="preserve">Orientering om arbejdet i EU og CPVO </w:t>
            </w:r>
          </w:p>
          <w:p w:rsidR="006F250B" w:rsidRDefault="006F250B" w:rsidP="000C2CCB">
            <w:pPr>
              <w:pStyle w:val="Listeafsnit"/>
              <w:numPr>
                <w:ilvl w:val="0"/>
                <w:numId w:val="17"/>
              </w:numPr>
              <w:spacing w:line="276" w:lineRule="auto"/>
            </w:pPr>
            <w:proofErr w:type="spellStart"/>
            <w:r w:rsidRPr="00C702E9">
              <w:rPr>
                <w:color w:val="000000"/>
              </w:rPr>
              <w:t>Brexit</w:t>
            </w:r>
            <w:proofErr w:type="spellEnd"/>
            <w:r w:rsidRPr="00C702E9">
              <w:rPr>
                <w:color w:val="000000"/>
              </w:rPr>
              <w:t xml:space="preserve">, </w:t>
            </w:r>
            <w:r w:rsidRPr="000932AA">
              <w:t>herunder ændring af sortslistebekendtgørelsen</w:t>
            </w:r>
          </w:p>
          <w:p w:rsidR="006F250B" w:rsidRPr="000932AA" w:rsidRDefault="006F250B" w:rsidP="000C2CCB">
            <w:pPr>
              <w:pStyle w:val="Listeafsnit"/>
              <w:numPr>
                <w:ilvl w:val="0"/>
                <w:numId w:val="17"/>
              </w:numPr>
              <w:spacing w:line="276" w:lineRule="auto"/>
            </w:pPr>
            <w:r>
              <w:t>Update om patenter og EU’s sortslovgivning</w:t>
            </w:r>
            <w:r w:rsidRPr="000932AA">
              <w:t xml:space="preserve"> </w:t>
            </w:r>
          </w:p>
          <w:p w:rsidR="006F250B" w:rsidRPr="000932AA" w:rsidRDefault="006F250B" w:rsidP="000C2CCB">
            <w:pPr>
              <w:pStyle w:val="Listeafsnit"/>
              <w:numPr>
                <w:ilvl w:val="0"/>
                <w:numId w:val="17"/>
              </w:numPr>
              <w:spacing w:line="276" w:lineRule="auto"/>
            </w:pPr>
            <w:r w:rsidRPr="000932AA">
              <w:rPr>
                <w:color w:val="000000"/>
              </w:rPr>
              <w:t>Værdiafprøvning af økologisk</w:t>
            </w:r>
            <w:r>
              <w:rPr>
                <w:color w:val="000000"/>
              </w:rPr>
              <w:t xml:space="preserve">e sorter </w:t>
            </w:r>
          </w:p>
        </w:tc>
        <w:tc>
          <w:tcPr>
            <w:tcW w:w="1345" w:type="pct"/>
            <w:vAlign w:val="center"/>
          </w:tcPr>
          <w:p w:rsidR="006F250B" w:rsidRDefault="006F250B" w:rsidP="000C2CCB">
            <w:pPr>
              <w:rPr>
                <w:color w:val="000000"/>
              </w:rPr>
            </w:pPr>
          </w:p>
          <w:p w:rsidR="006F250B" w:rsidRDefault="006F250B" w:rsidP="000C2CCB">
            <w:pPr>
              <w:rPr>
                <w:color w:val="000000"/>
              </w:rPr>
            </w:pPr>
          </w:p>
          <w:p w:rsidR="006F250B" w:rsidRDefault="006F250B" w:rsidP="000C2CCB">
            <w:pPr>
              <w:rPr>
                <w:color w:val="000000"/>
              </w:rPr>
            </w:pPr>
          </w:p>
          <w:p w:rsidR="006F250B" w:rsidRDefault="006F250B" w:rsidP="000C2CCB">
            <w:pPr>
              <w:rPr>
                <w:color w:val="000000"/>
              </w:rPr>
            </w:pPr>
          </w:p>
          <w:p w:rsidR="006F250B" w:rsidRDefault="006F250B" w:rsidP="000C2CCB">
            <w:pPr>
              <w:rPr>
                <w:color w:val="000000"/>
              </w:rPr>
            </w:pPr>
            <w:r>
              <w:rPr>
                <w:color w:val="000000"/>
              </w:rPr>
              <w:t>Bilag til pkt. 2. d)</w:t>
            </w:r>
          </w:p>
        </w:tc>
      </w:tr>
      <w:tr w:rsidR="006F250B" w:rsidTr="00174E32">
        <w:trPr>
          <w:trHeight w:val="397"/>
          <w:jc w:val="center"/>
        </w:trPr>
        <w:tc>
          <w:tcPr>
            <w:tcW w:w="378" w:type="pct"/>
            <w:vAlign w:val="center"/>
          </w:tcPr>
          <w:p w:rsidR="006F250B" w:rsidRDefault="006F250B" w:rsidP="000C2CCB">
            <w:pPr>
              <w:rPr>
                <w:color w:val="000000"/>
              </w:rPr>
            </w:pPr>
            <w:r>
              <w:rPr>
                <w:color w:val="000000"/>
              </w:rPr>
              <w:t>3.</w:t>
            </w:r>
          </w:p>
        </w:tc>
        <w:tc>
          <w:tcPr>
            <w:tcW w:w="3276" w:type="pct"/>
            <w:vAlign w:val="center"/>
          </w:tcPr>
          <w:p w:rsidR="006F250B" w:rsidRDefault="006F250B" w:rsidP="000C2CCB">
            <w:pPr>
              <w:rPr>
                <w:color w:val="000000"/>
              </w:rPr>
            </w:pPr>
            <w:r>
              <w:rPr>
                <w:color w:val="000000"/>
              </w:rPr>
              <w:t>Diverse certificering og handel:</w:t>
            </w:r>
          </w:p>
          <w:p w:rsidR="006F250B" w:rsidRPr="00A03763" w:rsidRDefault="006F250B" w:rsidP="000C2CCB">
            <w:pPr>
              <w:pStyle w:val="Listeafsnit"/>
              <w:numPr>
                <w:ilvl w:val="0"/>
                <w:numId w:val="18"/>
              </w:numPr>
              <w:spacing w:line="276" w:lineRule="auto"/>
              <w:rPr>
                <w:color w:val="000000"/>
              </w:rPr>
            </w:pPr>
            <w:r w:rsidRPr="00A03763">
              <w:rPr>
                <w:color w:val="000000"/>
              </w:rPr>
              <w:t>Orientering om arbejdet i EU</w:t>
            </w:r>
            <w:r>
              <w:rPr>
                <w:color w:val="000000"/>
              </w:rPr>
              <w:t xml:space="preserve"> og OECD</w:t>
            </w:r>
          </w:p>
          <w:p w:rsidR="006F250B" w:rsidRDefault="006F250B" w:rsidP="000C2CCB">
            <w:pPr>
              <w:pStyle w:val="Listeafsnit"/>
              <w:numPr>
                <w:ilvl w:val="0"/>
                <w:numId w:val="18"/>
              </w:numPr>
              <w:spacing w:line="276" w:lineRule="auto"/>
              <w:rPr>
                <w:color w:val="000000"/>
              </w:rPr>
            </w:pPr>
            <w:r>
              <w:rPr>
                <w:color w:val="000000"/>
              </w:rPr>
              <w:t>Orientering om planlagte bekendtgørelsesændringer</w:t>
            </w:r>
          </w:p>
          <w:p w:rsidR="006F250B" w:rsidRDefault="006F250B" w:rsidP="000C2CCB">
            <w:pPr>
              <w:pStyle w:val="Listeafsnit"/>
              <w:numPr>
                <w:ilvl w:val="0"/>
                <w:numId w:val="18"/>
              </w:numPr>
              <w:spacing w:line="276" w:lineRule="auto"/>
              <w:rPr>
                <w:color w:val="000000"/>
              </w:rPr>
            </w:pPr>
            <w:r w:rsidRPr="00A03763">
              <w:rPr>
                <w:color w:val="000000"/>
              </w:rPr>
              <w:t>Orientering om møde i Arbejdsgruppen om certificering 2</w:t>
            </w:r>
            <w:r>
              <w:rPr>
                <w:color w:val="000000"/>
              </w:rPr>
              <w:t>4</w:t>
            </w:r>
            <w:r w:rsidRPr="00A03763">
              <w:rPr>
                <w:color w:val="000000"/>
              </w:rPr>
              <w:t xml:space="preserve">. </w:t>
            </w:r>
            <w:r>
              <w:rPr>
                <w:color w:val="000000"/>
              </w:rPr>
              <w:t xml:space="preserve">april </w:t>
            </w:r>
            <w:r w:rsidRPr="00A03763">
              <w:rPr>
                <w:color w:val="000000"/>
              </w:rPr>
              <w:t>201</w:t>
            </w:r>
            <w:r>
              <w:rPr>
                <w:color w:val="000000"/>
              </w:rPr>
              <w:t>8</w:t>
            </w:r>
          </w:p>
          <w:p w:rsidR="006F250B" w:rsidRDefault="006F250B" w:rsidP="000C2CCB">
            <w:pPr>
              <w:pStyle w:val="Listeafsnit"/>
              <w:numPr>
                <w:ilvl w:val="0"/>
                <w:numId w:val="18"/>
              </w:numPr>
              <w:spacing w:line="276" w:lineRule="auto"/>
              <w:rPr>
                <w:color w:val="000000"/>
              </w:rPr>
            </w:pPr>
            <w:r>
              <w:rPr>
                <w:color w:val="000000"/>
              </w:rPr>
              <w:t>Eventuelle behov for ændring af normer for ukrudtsindhold i frø og såsæd</w:t>
            </w:r>
          </w:p>
          <w:p w:rsidR="006F250B" w:rsidRDefault="006F250B" w:rsidP="000C2CCB">
            <w:pPr>
              <w:pStyle w:val="Listeafsnit"/>
              <w:numPr>
                <w:ilvl w:val="0"/>
                <w:numId w:val="18"/>
              </w:numPr>
              <w:spacing w:line="276" w:lineRule="auto"/>
            </w:pPr>
            <w:r w:rsidRPr="000932AA">
              <w:t xml:space="preserve">Hvad skal og kan sortslisten og </w:t>
            </w:r>
            <w:r>
              <w:t xml:space="preserve">EU’s fælles </w:t>
            </w:r>
            <w:proofErr w:type="spellStart"/>
            <w:r>
              <w:t>sortsliste</w:t>
            </w:r>
            <w:proofErr w:type="spellEnd"/>
            <w:r w:rsidRPr="000932AA">
              <w:t xml:space="preserve"> rumme af oplysninger?</w:t>
            </w:r>
            <w:r>
              <w:t xml:space="preserve"> </w:t>
            </w:r>
          </w:p>
          <w:p w:rsidR="006F250B" w:rsidRPr="00EB7159" w:rsidRDefault="006F250B" w:rsidP="000C2CCB">
            <w:pPr>
              <w:pStyle w:val="Listeafsnit"/>
              <w:numPr>
                <w:ilvl w:val="0"/>
                <w:numId w:val="18"/>
              </w:numPr>
              <w:spacing w:line="276" w:lineRule="auto"/>
              <w:rPr>
                <w:color w:val="000000"/>
              </w:rPr>
            </w:pPr>
            <w:r>
              <w:rPr>
                <w:color w:val="000000"/>
              </w:rPr>
              <w:t xml:space="preserve">Screening af udsæd af majs og raps fra andre EU-lande samt importer fra tredjelande af majs, raps og lucerne for tilstedeværelse af ikke-godkendte GMO’er </w:t>
            </w:r>
          </w:p>
        </w:tc>
        <w:tc>
          <w:tcPr>
            <w:tcW w:w="1345" w:type="pct"/>
            <w:vAlign w:val="center"/>
          </w:tcPr>
          <w:p w:rsidR="006F250B" w:rsidRDefault="006F250B" w:rsidP="000C2CCB">
            <w:pPr>
              <w:rPr>
                <w:color w:val="000000"/>
              </w:rPr>
            </w:pPr>
            <w:r>
              <w:rPr>
                <w:color w:val="000000"/>
              </w:rPr>
              <w:t>Bilag til pkt. 3.d)</w:t>
            </w:r>
          </w:p>
          <w:p w:rsidR="006F250B" w:rsidRDefault="006F250B" w:rsidP="000C2CCB">
            <w:pPr>
              <w:rPr>
                <w:color w:val="000000"/>
              </w:rPr>
            </w:pPr>
          </w:p>
        </w:tc>
      </w:tr>
      <w:tr w:rsidR="006F250B" w:rsidTr="00174E32">
        <w:trPr>
          <w:trHeight w:val="397"/>
          <w:jc w:val="center"/>
        </w:trPr>
        <w:tc>
          <w:tcPr>
            <w:tcW w:w="378" w:type="pct"/>
            <w:vAlign w:val="center"/>
          </w:tcPr>
          <w:p w:rsidR="006F250B" w:rsidRDefault="006F250B" w:rsidP="000C2CCB">
            <w:pPr>
              <w:rPr>
                <w:color w:val="000000"/>
              </w:rPr>
            </w:pPr>
            <w:r>
              <w:rPr>
                <w:color w:val="000000"/>
              </w:rPr>
              <w:t xml:space="preserve">4. </w:t>
            </w:r>
          </w:p>
        </w:tc>
        <w:tc>
          <w:tcPr>
            <w:tcW w:w="3276" w:type="pct"/>
            <w:vAlign w:val="center"/>
          </w:tcPr>
          <w:p w:rsidR="006F250B" w:rsidRDefault="006F250B" w:rsidP="000C2CCB">
            <w:pPr>
              <w:rPr>
                <w:color w:val="000000"/>
              </w:rPr>
            </w:pPr>
            <w:r>
              <w:rPr>
                <w:color w:val="000000"/>
              </w:rPr>
              <w:t xml:space="preserve">Eksport og dansk skadegørerstatus </w:t>
            </w:r>
          </w:p>
        </w:tc>
        <w:tc>
          <w:tcPr>
            <w:tcW w:w="1345" w:type="pct"/>
            <w:vAlign w:val="center"/>
          </w:tcPr>
          <w:p w:rsidR="006F250B" w:rsidRDefault="006F250B" w:rsidP="000C2CCB">
            <w:pPr>
              <w:rPr>
                <w:color w:val="000000"/>
              </w:rPr>
            </w:pPr>
          </w:p>
        </w:tc>
      </w:tr>
      <w:tr w:rsidR="006F250B" w:rsidTr="00174E32">
        <w:trPr>
          <w:trHeight w:val="397"/>
          <w:jc w:val="center"/>
        </w:trPr>
        <w:tc>
          <w:tcPr>
            <w:tcW w:w="378" w:type="pct"/>
            <w:vAlign w:val="center"/>
          </w:tcPr>
          <w:p w:rsidR="006F250B" w:rsidRDefault="006F250B" w:rsidP="000C2CCB">
            <w:pPr>
              <w:rPr>
                <w:color w:val="000000"/>
              </w:rPr>
            </w:pPr>
            <w:r>
              <w:rPr>
                <w:color w:val="000000"/>
              </w:rPr>
              <w:t>5.</w:t>
            </w:r>
          </w:p>
        </w:tc>
        <w:tc>
          <w:tcPr>
            <w:tcW w:w="3276" w:type="pct"/>
            <w:vAlign w:val="center"/>
          </w:tcPr>
          <w:p w:rsidR="006F250B" w:rsidRPr="00A07DAB" w:rsidRDefault="006F250B" w:rsidP="000C2CCB">
            <w:pPr>
              <w:rPr>
                <w:color w:val="000000"/>
              </w:rPr>
            </w:pPr>
            <w:r w:rsidRPr="003E2DB6">
              <w:rPr>
                <w:color w:val="000000"/>
              </w:rPr>
              <w:t>Eventuelt</w:t>
            </w:r>
          </w:p>
        </w:tc>
        <w:tc>
          <w:tcPr>
            <w:tcW w:w="1345" w:type="pct"/>
            <w:vAlign w:val="center"/>
          </w:tcPr>
          <w:p w:rsidR="006F250B" w:rsidRDefault="006F250B" w:rsidP="000C2CCB">
            <w:pPr>
              <w:rPr>
                <w:color w:val="000000"/>
              </w:rPr>
            </w:pPr>
          </w:p>
        </w:tc>
      </w:tr>
    </w:tbl>
    <w:p w:rsidR="00775306" w:rsidRDefault="00775306" w:rsidP="004F2491">
      <w:pPr>
        <w:pStyle w:val="Overskrift1"/>
      </w:pPr>
    </w:p>
    <w:p w:rsidR="00021E8C" w:rsidRPr="00775306" w:rsidRDefault="00775306" w:rsidP="00775306">
      <w:pPr>
        <w:pStyle w:val="Overskrift1"/>
        <w:numPr>
          <w:ilvl w:val="0"/>
          <w:numId w:val="20"/>
        </w:numPr>
      </w:pPr>
      <w:r w:rsidRPr="00775306">
        <w:t>Meddelelser</w:t>
      </w:r>
    </w:p>
    <w:p w:rsidR="00775306" w:rsidRPr="00775306" w:rsidRDefault="00775306" w:rsidP="00775306"/>
    <w:p w:rsidR="00775306" w:rsidRPr="002D1875" w:rsidRDefault="00132571" w:rsidP="008602B1">
      <w:pPr>
        <w:spacing w:after="120"/>
        <w:ind w:left="357"/>
        <w:rPr>
          <w:b/>
        </w:rPr>
      </w:pPr>
      <w:r>
        <w:rPr>
          <w:b/>
        </w:rPr>
        <w:t>1. a) LB</w:t>
      </w:r>
      <w:r w:rsidR="00775306" w:rsidRPr="002D1875">
        <w:rPr>
          <w:b/>
        </w:rPr>
        <w:t>ST</w:t>
      </w:r>
    </w:p>
    <w:p w:rsidR="00132571" w:rsidRDefault="00132571" w:rsidP="008602B1">
      <w:pPr>
        <w:spacing w:after="120"/>
        <w:ind w:left="357"/>
      </w:pPr>
      <w:r>
        <w:t>Formanden bød velkommen til de nye medlemmer af udvalget. Forretningsorden og medlemsliste offentliggøres, så snart de sidste detaljer er faldet på plads.</w:t>
      </w:r>
      <w:r w:rsidR="007B2F76">
        <w:t xml:space="preserve"> Udvalget ønskede ikke at vælge en næstformand.</w:t>
      </w:r>
    </w:p>
    <w:p w:rsidR="008602B1" w:rsidRDefault="008602B1" w:rsidP="008602B1">
      <w:pPr>
        <w:spacing w:after="120"/>
        <w:ind w:left="357"/>
      </w:pPr>
      <w:r>
        <w:rPr>
          <w:b/>
        </w:rPr>
        <w:t xml:space="preserve">1. b) </w:t>
      </w:r>
      <w:proofErr w:type="spellStart"/>
      <w:r>
        <w:rPr>
          <w:b/>
        </w:rPr>
        <w:t>TystofteFonden</w:t>
      </w:r>
      <w:proofErr w:type="spellEnd"/>
      <w:r w:rsidR="00370AA3">
        <w:rPr>
          <w:b/>
        </w:rPr>
        <w:t xml:space="preserve"> (TF)</w:t>
      </w:r>
    </w:p>
    <w:p w:rsidR="00174E32" w:rsidRDefault="00174E32" w:rsidP="008602B1">
      <w:pPr>
        <w:spacing w:after="120"/>
        <w:ind w:left="357"/>
      </w:pPr>
      <w:r>
        <w:t>GDE orientered</w:t>
      </w:r>
      <w:r w:rsidR="00226FD2">
        <w:t>e</w:t>
      </w:r>
      <w:r>
        <w:t xml:space="preserve"> om at forårsanmeldelserne til sortsafprøvning er på niveau med sidste år. Der afholdes markkontrollørmøder 2. og 3. maj. Vårsædsstatistikken er sendt ud. Og der er snart styr på alle anmeldelser til avlskontrollen, selvom der pt. er 800 på fejllisten, så statistik over anmeldelserne kan sendes ud.</w:t>
      </w:r>
    </w:p>
    <w:p w:rsidR="00174E32" w:rsidRDefault="00174E32" w:rsidP="008602B1">
      <w:pPr>
        <w:spacing w:after="120"/>
        <w:ind w:left="357"/>
      </w:pPr>
      <w:r>
        <w:t>Arbejdet med en løsning omkring kontroldyrkning af bederoer er på vej og der vil være et bilag klar til næste UPU møde</w:t>
      </w:r>
      <w:r w:rsidR="00634051">
        <w:t>.</w:t>
      </w:r>
    </w:p>
    <w:p w:rsidR="00411BB4" w:rsidRDefault="00411BB4" w:rsidP="008602B1">
      <w:pPr>
        <w:spacing w:after="120"/>
        <w:ind w:left="357"/>
      </w:pPr>
      <w:r>
        <w:rPr>
          <w:b/>
        </w:rPr>
        <w:t>1. c) Medlemmerne</w:t>
      </w:r>
    </w:p>
    <w:p w:rsidR="00411BB4" w:rsidRDefault="00226FD2" w:rsidP="008602B1">
      <w:pPr>
        <w:spacing w:after="120"/>
        <w:ind w:left="357"/>
      </w:pPr>
      <w:r>
        <w:t>SVS og AL sagde, at de ser spændende muligheder i den kommende Økologiforordning i forhold til handel med heterogent materiale og gruppecertificering.</w:t>
      </w:r>
    </w:p>
    <w:p w:rsidR="00226FD2" w:rsidRDefault="00226FD2" w:rsidP="008602B1">
      <w:pPr>
        <w:spacing w:after="120"/>
        <w:ind w:left="357"/>
      </w:pPr>
      <w:r>
        <w:t xml:space="preserve">JBP sagde, at det har været et sent forår i </w:t>
      </w:r>
      <w:proofErr w:type="spellStart"/>
      <w:r>
        <w:t>fht</w:t>
      </w:r>
      <w:proofErr w:type="spellEnd"/>
      <w:r>
        <w:t xml:space="preserve">. såning, og der er sket et markant skift i afgrødevalg mod mere vårsæd, bl.a. pga. af det våde efterår. Der er sået mindre end 400.000 ha </w:t>
      </w:r>
      <w:proofErr w:type="spellStart"/>
      <w:r>
        <w:t>vinterhvede</w:t>
      </w:r>
      <w:proofErr w:type="spellEnd"/>
      <w:r>
        <w:t xml:space="preserve"> og mere end 700.000 ha vårsæd (kilde: LBST statistik).</w:t>
      </w:r>
    </w:p>
    <w:p w:rsidR="00634051" w:rsidRDefault="00634051" w:rsidP="008602B1">
      <w:pPr>
        <w:spacing w:after="120"/>
        <w:ind w:left="357"/>
      </w:pPr>
      <w:r>
        <w:t>AB supplerede med, at ændringen gør, at der er meget fokus på maltbyg og det nok kan være en langsigte</w:t>
      </w:r>
      <w:r w:rsidR="00D966C5">
        <w:t>t</w:t>
      </w:r>
      <w:r>
        <w:t xml:space="preserve"> tendens i retning af mere vårsæd. Erhvervet arbejder med de handel</w:t>
      </w:r>
      <w:r w:rsidR="00ED29FC">
        <w:t>s</w:t>
      </w:r>
      <w:r>
        <w:t xml:space="preserve">politiske rammer for maltbyg og her spiller den høje grad af certificeret såsæd i Danmark en </w:t>
      </w:r>
      <w:r w:rsidR="009614F3">
        <w:t xml:space="preserve">ikke uvæsentlig </w:t>
      </w:r>
      <w:r>
        <w:t>rolle.</w:t>
      </w:r>
    </w:p>
    <w:p w:rsidR="00D966C5" w:rsidRDefault="00D966C5" w:rsidP="008602B1">
      <w:pPr>
        <w:spacing w:after="120"/>
        <w:ind w:left="357"/>
      </w:pPr>
    </w:p>
    <w:p w:rsidR="00787EAA" w:rsidRDefault="000D4381" w:rsidP="006655CC">
      <w:pPr>
        <w:spacing w:after="120"/>
        <w:ind w:left="357"/>
        <w:rPr>
          <w:sz w:val="22"/>
          <w:szCs w:val="22"/>
        </w:rPr>
      </w:pPr>
      <w:r>
        <w:rPr>
          <w:b/>
          <w:sz w:val="22"/>
          <w:szCs w:val="22"/>
        </w:rPr>
        <w:t>2</w:t>
      </w:r>
      <w:r w:rsidR="00787EAA">
        <w:rPr>
          <w:b/>
          <w:sz w:val="22"/>
          <w:szCs w:val="22"/>
        </w:rPr>
        <w:t>. Diverse plantenyhedsbeskyttelse og sortsafprøvning</w:t>
      </w:r>
    </w:p>
    <w:p w:rsidR="009614F3" w:rsidRPr="00787EAA" w:rsidRDefault="009614F3" w:rsidP="009614F3">
      <w:pPr>
        <w:spacing w:after="120"/>
        <w:ind w:left="357"/>
      </w:pPr>
      <w:r>
        <w:rPr>
          <w:b/>
        </w:rPr>
        <w:t xml:space="preserve">2. a) Orientering om arbejdet i EU og CPVO </w:t>
      </w:r>
    </w:p>
    <w:p w:rsidR="006B50DB" w:rsidRPr="006B50DB" w:rsidRDefault="006B50DB" w:rsidP="006B50DB">
      <w:pPr>
        <w:spacing w:after="120"/>
        <w:ind w:left="357"/>
      </w:pPr>
      <w:r>
        <w:t>KRBA orienterede om</w:t>
      </w:r>
      <w:r w:rsidRPr="006B50DB">
        <w:t xml:space="preserve"> møde i CPVO den 21.-22. marts.</w:t>
      </w:r>
    </w:p>
    <w:p w:rsidR="006B50DB" w:rsidRPr="006B50DB" w:rsidRDefault="006B50DB" w:rsidP="006B50DB">
      <w:pPr>
        <w:spacing w:after="120"/>
        <w:ind w:left="357"/>
      </w:pPr>
      <w:r w:rsidRPr="006B50DB">
        <w:t>Der er truffet afgørelse i den første sag CPVO har haft om tvangslicens vedrørende en solbærsort. Kravene for tvangslicens er, at ansøgeren kan godtgøre, at det er i offentlighedens interesse og at der er et behov for at forsyne markedet. I den konkrete sag kunne ansøgeren ikke dokumentere dette. Der blev derfor ikke givet tvangslicens i sagen.</w:t>
      </w:r>
    </w:p>
    <w:p w:rsidR="006B50DB" w:rsidRPr="006B50DB" w:rsidRDefault="006B50DB" w:rsidP="006B50DB">
      <w:pPr>
        <w:spacing w:after="120"/>
        <w:ind w:left="357"/>
      </w:pPr>
      <w:r w:rsidRPr="006B50DB">
        <w:t>I 2017 er der modtaget 3.422 ansøgninger. Det er en stigning i forhold til de sidste par år. Der er stadig flest ansøgninger på prydplanter, men der ses også en stigning i ansøgninger på frugtplanter.</w:t>
      </w:r>
      <w:r>
        <w:t xml:space="preserve"> </w:t>
      </w:r>
      <w:r w:rsidRPr="006B50DB">
        <w:t xml:space="preserve">Ca. 80 % af ansøgningerne kommer fra EU (primært NL, FR, DE) og ca. 20 % fra 3.-lande </w:t>
      </w:r>
      <w:r w:rsidRPr="006B50DB">
        <w:lastRenderedPageBreak/>
        <w:t>(primært USA og Schweitz).</w:t>
      </w:r>
      <w:r>
        <w:t xml:space="preserve"> </w:t>
      </w:r>
      <w:r w:rsidRPr="006B50DB">
        <w:t>Der er givet 2.865 beskyttelser.</w:t>
      </w:r>
      <w:r>
        <w:t xml:space="preserve"> </w:t>
      </w:r>
      <w:r w:rsidRPr="006B50DB">
        <w:t>Samlet antal aktive beskyttelser er tæt på 26.000. I 2017 ses en stigning i opgivelser. CPVO vurderer, at det primært skyldes prisstigningen, der trådte i kraft i 2017.</w:t>
      </w:r>
    </w:p>
    <w:p w:rsidR="006B50DB" w:rsidRPr="006B50DB" w:rsidRDefault="006B50DB" w:rsidP="006B50DB">
      <w:pPr>
        <w:spacing w:after="120"/>
        <w:ind w:left="357"/>
      </w:pPr>
      <w:r w:rsidRPr="006B50DB">
        <w:t>CPVO har et overskud i 2017 på 1,37 mio. €, til forskel fra 2016, hvor der var et underskud på ca. 2 mio. €</w:t>
      </w:r>
      <w:r>
        <w:t xml:space="preserve">. </w:t>
      </w:r>
      <w:r w:rsidRPr="006B50DB">
        <w:t>CPVO har haft udgifter for 14,9 mio. € og indtægter for 16,2 mio. €.</w:t>
      </w:r>
      <w:r>
        <w:t xml:space="preserve"> </w:t>
      </w:r>
      <w:r w:rsidRPr="006B50DB">
        <w:t>Den frie reserve er på 0,17 mio. € (se nedenstående graf fra mødedokumenterne).</w:t>
      </w:r>
    </w:p>
    <w:p w:rsidR="006B50DB" w:rsidRDefault="006B50DB">
      <w:pPr>
        <w:rPr>
          <w:rFonts w:ascii="Tahoma" w:eastAsiaTheme="minorHAnsi" w:hAnsi="Tahoma" w:cs="Tahoma"/>
          <w:color w:val="000000"/>
          <w:lang w:val="en-GB" w:eastAsia="en-US"/>
        </w:rPr>
      </w:pPr>
      <w:r>
        <w:rPr>
          <w:lang w:val="en-GB"/>
        </w:rPr>
        <w:br w:type="page"/>
      </w:r>
    </w:p>
    <w:p w:rsidR="006B50DB" w:rsidRDefault="006B50DB" w:rsidP="006B50DB">
      <w:pPr>
        <w:spacing w:after="120"/>
        <w:ind w:left="357"/>
        <w:rPr>
          <w:rFonts w:ascii="Verdana" w:hAnsi="Verdana"/>
        </w:rPr>
      </w:pPr>
      <w:r>
        <w:rPr>
          <w:sz w:val="18"/>
          <w:szCs w:val="18"/>
        </w:rPr>
        <w:lastRenderedPageBreak/>
        <w:t xml:space="preserve">Graph 1 - </w:t>
      </w:r>
      <w:proofErr w:type="spellStart"/>
      <w:r>
        <w:rPr>
          <w:sz w:val="18"/>
          <w:szCs w:val="18"/>
        </w:rPr>
        <w:t>Free</w:t>
      </w:r>
      <w:proofErr w:type="spellEnd"/>
      <w:r>
        <w:rPr>
          <w:sz w:val="18"/>
          <w:szCs w:val="18"/>
        </w:rPr>
        <w:t xml:space="preserve"> reserve</w:t>
      </w:r>
    </w:p>
    <w:p w:rsidR="006B50DB" w:rsidRDefault="006B50DB" w:rsidP="006B50DB">
      <w:pPr>
        <w:spacing w:after="120"/>
        <w:ind w:left="357"/>
        <w:rPr>
          <w:rFonts w:ascii="Verdana" w:hAnsi="Verdana"/>
        </w:rPr>
      </w:pPr>
      <w:r w:rsidRPr="00D40E67">
        <w:rPr>
          <w:rFonts w:ascii="Verdana" w:hAnsi="Verdana"/>
          <w:noProof/>
        </w:rPr>
        <w:drawing>
          <wp:inline distT="0" distB="0" distL="0" distR="0" wp14:anchorId="635D653B" wp14:editId="110186EA">
            <wp:extent cx="5605620" cy="313372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1063" cy="3136768"/>
                    </a:xfrm>
                    <a:prstGeom prst="rect">
                      <a:avLst/>
                    </a:prstGeom>
                    <a:noFill/>
                    <a:ln>
                      <a:noFill/>
                    </a:ln>
                  </pic:spPr>
                </pic:pic>
              </a:graphicData>
            </a:graphic>
          </wp:inline>
        </w:drawing>
      </w:r>
    </w:p>
    <w:p w:rsidR="006B50DB" w:rsidRPr="006B50DB" w:rsidRDefault="006B50DB" w:rsidP="006B50DB">
      <w:pPr>
        <w:spacing w:after="120"/>
        <w:ind w:left="357"/>
      </w:pPr>
      <w:r w:rsidRPr="006B50DB">
        <w:t>I budgettet for 2019 forventer CPVO en væsentlig stigning i udgifterne til betaling af afprøvningssteder. Det skyldes, at CPVO har modtaget mange ansøgninger sidst i 2017, og betalingen af afprøvningsstederne sker dermed først i 2019.</w:t>
      </w:r>
    </w:p>
    <w:p w:rsidR="006B50DB" w:rsidRPr="006B50DB" w:rsidRDefault="006B50DB" w:rsidP="006B50DB">
      <w:pPr>
        <w:spacing w:after="120"/>
        <w:ind w:left="357"/>
      </w:pPr>
      <w:r w:rsidRPr="006B50DB">
        <w:t>Det drøftes stadig, hvor mange ansatte CPVO bør have. KOM siger 43. CPVO siger 45. Der kører et pilotprojekt i KOM omkring selvfinansierende organisationer. Når projektet er afsluttet, vil der også blive truffet beslutning vedrørende CPVO.</w:t>
      </w:r>
    </w:p>
    <w:p w:rsidR="006B50DB" w:rsidRPr="006B50DB" w:rsidRDefault="006B50DB" w:rsidP="006B50DB">
      <w:pPr>
        <w:spacing w:after="120"/>
        <w:ind w:left="357"/>
      </w:pPr>
      <w:r w:rsidRPr="006B50DB">
        <w:t xml:space="preserve">Guidelines og </w:t>
      </w:r>
      <w:proofErr w:type="spellStart"/>
      <w:r w:rsidRPr="006B50DB">
        <w:t>Explanatory</w:t>
      </w:r>
      <w:proofErr w:type="spellEnd"/>
      <w:r w:rsidRPr="006B50DB">
        <w:t xml:space="preserve"> Note vedrørende sortsnavne skal ændres. </w:t>
      </w:r>
      <w:proofErr w:type="spellStart"/>
      <w:r w:rsidRPr="006B50DB">
        <w:t>Explanatory</w:t>
      </w:r>
      <w:proofErr w:type="spellEnd"/>
      <w:r w:rsidRPr="006B50DB">
        <w:t xml:space="preserve"> Note bliver udstedt umiddelbart, men Guidelines kan først ændres, når den bagvedliggende forordning er ændret. KOM og CPVO arbejder videre med det.</w:t>
      </w:r>
    </w:p>
    <w:p w:rsidR="006B50DB" w:rsidRPr="006B50DB" w:rsidRDefault="006B50DB" w:rsidP="006B50DB">
      <w:pPr>
        <w:spacing w:after="120"/>
        <w:ind w:left="357"/>
      </w:pPr>
      <w:proofErr w:type="spellStart"/>
      <w:r w:rsidRPr="006B50DB">
        <w:t>TystofteFondens</w:t>
      </w:r>
      <w:proofErr w:type="spellEnd"/>
      <w:r w:rsidRPr="006B50DB">
        <w:t xml:space="preserve"> akkreditering og udvidelse blev godkendt. NB! </w:t>
      </w:r>
      <w:proofErr w:type="spellStart"/>
      <w:r w:rsidRPr="006B50DB">
        <w:t>TystofteFonden</w:t>
      </w:r>
      <w:proofErr w:type="spellEnd"/>
      <w:r w:rsidRPr="006B50DB">
        <w:t xml:space="preserve"> havde på mødet ikke fået officiel besked fra CPVO.</w:t>
      </w:r>
    </w:p>
    <w:p w:rsidR="006B50DB" w:rsidRPr="006B50DB" w:rsidRDefault="006B50DB" w:rsidP="006B50DB">
      <w:pPr>
        <w:spacing w:after="120"/>
        <w:ind w:left="357"/>
      </w:pPr>
      <w:r w:rsidRPr="006B50DB">
        <w:t>CPVO arbejder på et nyt IT-system til håndtering af ansøgninger. Medlemsstater og afprøvningssteder vil blive involveret nærmere på et senere tidspunkt.</w:t>
      </w:r>
    </w:p>
    <w:p w:rsidR="006B50DB" w:rsidRPr="006B50DB" w:rsidRDefault="006B50DB" w:rsidP="006B50DB">
      <w:pPr>
        <w:spacing w:after="120"/>
        <w:ind w:left="357"/>
      </w:pPr>
      <w:r w:rsidRPr="006B50DB">
        <w:t xml:space="preserve">Der er ikke noget nyt vedrørende </w:t>
      </w:r>
      <w:proofErr w:type="spellStart"/>
      <w:r w:rsidRPr="006B50DB">
        <w:t>Brexit</w:t>
      </w:r>
      <w:proofErr w:type="spellEnd"/>
      <w:r w:rsidRPr="006B50DB">
        <w:t>. KOM henviser til deres hjemmeside for Task Force 50, hvor alle nyheder bliver lagt ud.</w:t>
      </w:r>
    </w:p>
    <w:p w:rsidR="006B50DB" w:rsidRPr="006B50DB" w:rsidRDefault="006B50DB" w:rsidP="006B50DB">
      <w:pPr>
        <w:spacing w:after="120"/>
        <w:ind w:left="357"/>
      </w:pPr>
      <w:r w:rsidRPr="006B50DB">
        <w:t>CPVO samarbejder med EPO. Efter ønske fra T</w:t>
      </w:r>
      <w:r w:rsidR="005A6CF6">
        <w:t>GK</w:t>
      </w:r>
      <w:r w:rsidRPr="006B50DB">
        <w:t xml:space="preserve"> fremlagde styrelsen de spørgsmål og bemærkninger, som </w:t>
      </w:r>
      <w:r w:rsidR="005A6CF6">
        <w:t>TGK</w:t>
      </w:r>
      <w:r w:rsidRPr="006B50DB">
        <w:t xml:space="preserve"> forud for mødet havde sendt rundt til alle UPU-medlemmer. Hertil bemærkede CPVO at de ville tage kommentarerne og spørgsmålene til efterretning og vil drøfte nogle af dem med EPO på deres næstkommende møde.</w:t>
      </w:r>
    </w:p>
    <w:p w:rsidR="006B50DB" w:rsidRPr="006B50DB" w:rsidRDefault="006B50DB" w:rsidP="006B50DB">
      <w:pPr>
        <w:spacing w:after="120"/>
        <w:ind w:left="357"/>
      </w:pPr>
      <w:r w:rsidRPr="006B50DB">
        <w:lastRenderedPageBreak/>
        <w:t xml:space="preserve">CPVO har droppet muligheden for at betale for flere år på forskud, da det ikke var interessant for erhvervet. I stedet arbejder de nu på en model, hvor CPVO kan debitere ansøgers bank direkte. Formålet er primært at lette </w:t>
      </w:r>
      <w:proofErr w:type="spellStart"/>
      <w:r w:rsidRPr="006B50DB">
        <w:t>CPVOs</w:t>
      </w:r>
      <w:proofErr w:type="spellEnd"/>
      <w:r w:rsidRPr="006B50DB">
        <w:t xml:space="preserve"> administration.</w:t>
      </w:r>
    </w:p>
    <w:p w:rsidR="006B50DB" w:rsidRPr="006B50DB" w:rsidRDefault="006B50DB" w:rsidP="006B50DB">
      <w:pPr>
        <w:spacing w:after="120"/>
        <w:ind w:left="357"/>
      </w:pPr>
      <w:r w:rsidRPr="006B50DB">
        <w:t>CPVO har anmodet KOM om at ændre forordningen, så beskyttelsen for asparges. "</w:t>
      </w:r>
      <w:proofErr w:type="spellStart"/>
      <w:r w:rsidRPr="006B50DB">
        <w:t>wood</w:t>
      </w:r>
      <w:proofErr w:type="spellEnd"/>
      <w:r w:rsidRPr="006B50DB">
        <w:t xml:space="preserve"> </w:t>
      </w:r>
      <w:proofErr w:type="spellStart"/>
      <w:r w:rsidRPr="006B50DB">
        <w:t>crops</w:t>
      </w:r>
      <w:proofErr w:type="spellEnd"/>
      <w:r w:rsidRPr="006B50DB">
        <w:t>" og blomsterløg er 30 år i stedet for 25 år. Kort før mødet sendte KOM deres bemærkninger, hvorefter de har behov for en del flere oplysninger. CPVO vil arbejde videre med at fremskaffe de oplysninger.</w:t>
      </w:r>
    </w:p>
    <w:p w:rsidR="006B50DB" w:rsidRPr="006B50DB" w:rsidRDefault="006B50DB" w:rsidP="006B50DB">
      <w:pPr>
        <w:spacing w:after="120"/>
        <w:ind w:left="357"/>
      </w:pPr>
      <w:r w:rsidRPr="006B50DB">
        <w:t>Næste møde er i Sofia den 19. september. Dagen efter vil CPVO afholde et seminar for at promovere PVP-systemet i Bulgarien.</w:t>
      </w:r>
    </w:p>
    <w:p w:rsidR="009614F3" w:rsidRPr="00787EAA" w:rsidRDefault="009614F3" w:rsidP="009614F3">
      <w:pPr>
        <w:spacing w:after="120"/>
        <w:ind w:left="357"/>
      </w:pPr>
      <w:r>
        <w:rPr>
          <w:b/>
        </w:rPr>
        <w:t xml:space="preserve">2. b) </w:t>
      </w:r>
      <w:proofErr w:type="spellStart"/>
      <w:r>
        <w:rPr>
          <w:b/>
        </w:rPr>
        <w:t>Brexit</w:t>
      </w:r>
      <w:proofErr w:type="spellEnd"/>
      <w:r w:rsidR="00370AA3">
        <w:rPr>
          <w:b/>
        </w:rPr>
        <w:t>, herunder ændring af sortslistebekendtgørelsen</w:t>
      </w:r>
    </w:p>
    <w:p w:rsidR="005A6CF6" w:rsidRDefault="005A6CF6" w:rsidP="009614F3">
      <w:pPr>
        <w:spacing w:after="120"/>
        <w:ind w:left="357"/>
      </w:pPr>
      <w:r>
        <w:t xml:space="preserve">KRRI orienterede om status på </w:t>
      </w:r>
      <w:proofErr w:type="spellStart"/>
      <w:r>
        <w:t>Brexit</w:t>
      </w:r>
      <w:proofErr w:type="spellEnd"/>
      <w:r>
        <w:t xml:space="preserve">. Der er ikke noget nyt udover overgangsperioden, der udløber 31. december 2020. Bekendtgørelsen er nu ændret og offentliggjort, så sorter på UK </w:t>
      </w:r>
      <w:proofErr w:type="spellStart"/>
      <w:r>
        <w:t>sortsliste</w:t>
      </w:r>
      <w:proofErr w:type="spellEnd"/>
      <w:r>
        <w:t xml:space="preserve"> kan optages uden en dansk værdiafprøvning indtil udløbet af overgangsperioden.</w:t>
      </w:r>
    </w:p>
    <w:p w:rsidR="009614F3" w:rsidRDefault="009614F3" w:rsidP="009614F3">
      <w:pPr>
        <w:spacing w:after="120"/>
        <w:ind w:left="357"/>
      </w:pPr>
      <w:r>
        <w:t>AM roste LBST for indsatsen med at ændre sortslistebekendtgørelsen og at overgangsperioden kom med. NL og FR har gjort</w:t>
      </w:r>
      <w:r w:rsidR="00AF1E80">
        <w:t xml:space="preserve"> noget lignende</w:t>
      </w:r>
      <w:r>
        <w:t xml:space="preserve">. BE sagde, at UK laver en tilsvarende ordning for EU sorter, som ikke er på deres nationale liste, men kun i en meget kort periode fra maj til oktober i år. </w:t>
      </w:r>
      <w:r w:rsidR="00370AA3">
        <w:t>[UK pressemeddelelse udsendes med referatet]</w:t>
      </w:r>
    </w:p>
    <w:p w:rsidR="00370AA3" w:rsidRDefault="00370AA3" w:rsidP="009614F3">
      <w:pPr>
        <w:spacing w:after="120"/>
        <w:ind w:left="357"/>
      </w:pPr>
      <w:r>
        <w:t xml:space="preserve">KRRI sagde, at dette nok er den første egentlige </w:t>
      </w:r>
      <w:proofErr w:type="spellStart"/>
      <w:r>
        <w:t>Brexitsag</w:t>
      </w:r>
      <w:proofErr w:type="spellEnd"/>
      <w:r>
        <w:t xml:space="preserve">, som vi har. Det er et eksempel på et rigtig godt samarbejde, hvor vi har ageret hurtigt på de nye udfordringer som følge af </w:t>
      </w:r>
      <w:proofErr w:type="spellStart"/>
      <w:r>
        <w:t>Brexit</w:t>
      </w:r>
      <w:proofErr w:type="spellEnd"/>
      <w:r>
        <w:t xml:space="preserve">. Vi hører i det hele taget gerne om udvalgets og virksomhedernes analyser og bekymringer i forhold til </w:t>
      </w:r>
      <w:proofErr w:type="spellStart"/>
      <w:r>
        <w:t>Brexit</w:t>
      </w:r>
      <w:proofErr w:type="spellEnd"/>
      <w:r>
        <w:t>.</w:t>
      </w:r>
    </w:p>
    <w:p w:rsidR="00370AA3" w:rsidRDefault="00370AA3" w:rsidP="009614F3">
      <w:pPr>
        <w:spacing w:after="120"/>
        <w:ind w:left="357"/>
      </w:pPr>
      <w:r>
        <w:t>GDE sagde, at der ligger et anmeldelsesskema på hjemmesiden, men TF har endnu ikke modtaget anmeldelser</w:t>
      </w:r>
      <w:r w:rsidR="00AF1E80">
        <w:t xml:space="preserve"> efter den ændrede bekendtgørelse</w:t>
      </w:r>
      <w:r>
        <w:t>.</w:t>
      </w:r>
    </w:p>
    <w:p w:rsidR="009614F3" w:rsidRPr="00787EAA" w:rsidRDefault="009614F3" w:rsidP="009614F3">
      <w:pPr>
        <w:spacing w:after="120"/>
        <w:ind w:left="357"/>
      </w:pPr>
      <w:r>
        <w:rPr>
          <w:b/>
        </w:rPr>
        <w:t xml:space="preserve">2. c) Update om patenter og EU’s sortslovgivning </w:t>
      </w:r>
    </w:p>
    <w:p w:rsidR="00D966C5" w:rsidRDefault="00370AA3" w:rsidP="009614F3">
      <w:pPr>
        <w:spacing w:after="120"/>
        <w:ind w:left="357"/>
      </w:pPr>
      <w:r>
        <w:t xml:space="preserve">BE </w:t>
      </w:r>
      <w:r w:rsidR="00D6793D">
        <w:t xml:space="preserve">gav en </w:t>
      </w:r>
      <w:r w:rsidR="00ED29FC">
        <w:t>up date</w:t>
      </w:r>
      <w:r w:rsidR="00D6793D">
        <w:t xml:space="preserve"> omkring patenter og planteforædling og gennemgik historikken siden tomat og </w:t>
      </w:r>
      <w:r w:rsidR="00D6793D" w:rsidRPr="005E08EA">
        <w:t>broccolisagen [Slides udsendes med referatet]. På trods af nytolkning af nogle af EPO konventionens</w:t>
      </w:r>
      <w:r w:rsidR="00D6793D">
        <w:t xml:space="preserve"> bestemmelser ser udviklingen bekymrende ud i forhold til forædlernes råderum. </w:t>
      </w:r>
    </w:p>
    <w:p w:rsidR="009614F3" w:rsidRDefault="00D6793D" w:rsidP="009614F3">
      <w:pPr>
        <w:spacing w:after="120"/>
        <w:ind w:left="357"/>
      </w:pPr>
      <w:r>
        <w:t xml:space="preserve">AB sagde, at de fleste forædlere i EU er på </w:t>
      </w:r>
      <w:proofErr w:type="spellStart"/>
      <w:r>
        <w:t>linie</w:t>
      </w:r>
      <w:proofErr w:type="spellEnd"/>
      <w:r>
        <w:t xml:space="preserve"> med danske forædlere i </w:t>
      </w:r>
      <w:proofErr w:type="spellStart"/>
      <w:r>
        <w:t>fht</w:t>
      </w:r>
      <w:proofErr w:type="spellEnd"/>
      <w:r>
        <w:t>. disse spørgsmål. Det kan blive en større sag for EU Parlamentet og medlemsstaterne (MS)</w:t>
      </w:r>
      <w:r w:rsidR="00D966C5">
        <w:t>.</w:t>
      </w:r>
    </w:p>
    <w:p w:rsidR="00787EAA" w:rsidRPr="00787EAA" w:rsidRDefault="000D4381" w:rsidP="006655CC">
      <w:pPr>
        <w:spacing w:after="120"/>
        <w:ind w:left="357"/>
      </w:pPr>
      <w:r>
        <w:rPr>
          <w:b/>
        </w:rPr>
        <w:t>2</w:t>
      </w:r>
      <w:r w:rsidR="009614F3">
        <w:rPr>
          <w:b/>
        </w:rPr>
        <w:t>. d</w:t>
      </w:r>
      <w:r w:rsidR="00787EAA">
        <w:rPr>
          <w:b/>
        </w:rPr>
        <w:t xml:space="preserve">) </w:t>
      </w:r>
      <w:r w:rsidR="009614F3">
        <w:rPr>
          <w:b/>
        </w:rPr>
        <w:t>Værdiafprøvning af økologiske sorter</w:t>
      </w:r>
      <w:r w:rsidR="00787EAA">
        <w:rPr>
          <w:b/>
        </w:rPr>
        <w:t xml:space="preserve"> </w:t>
      </w:r>
    </w:p>
    <w:p w:rsidR="00787EAA" w:rsidRDefault="00370AA3" w:rsidP="00787EAA">
      <w:pPr>
        <w:spacing w:after="120"/>
        <w:ind w:left="357"/>
      </w:pPr>
      <w:r>
        <w:t>GDE fremlagde bilaget, som er en form for pilot i forhold til en ny model for økologisk værdiafprøvning til almindelig sortsoptagelse. BE hilste det velkomment, da den tidligere model var urimeligt dyr. Der kunne være en bekymring i forhold til en nemmere adgang til EU-listen, men fremtidige sorter skal måles overfor de godkendte økologiske sorter, så det burde ikke være et problem.</w:t>
      </w:r>
      <w:r w:rsidR="001251D2">
        <w:t xml:space="preserve"> </w:t>
      </w:r>
      <w:r w:rsidR="001251D2">
        <w:lastRenderedPageBreak/>
        <w:t>SES-afprøvningen sker fortsat på konventionel vis, da det udelukkende går på sortens fænotype. OOL konkluderede, at der er tale om en væsentlig forbedring til en fornuftig pris.</w:t>
      </w:r>
    </w:p>
    <w:p w:rsidR="00D966C5" w:rsidRDefault="00D966C5" w:rsidP="00787EAA">
      <w:pPr>
        <w:spacing w:after="120"/>
        <w:ind w:left="357"/>
      </w:pPr>
    </w:p>
    <w:p w:rsidR="00636AC2" w:rsidRDefault="00174E32" w:rsidP="00787EAA">
      <w:pPr>
        <w:spacing w:after="120"/>
        <w:ind w:left="357"/>
        <w:rPr>
          <w:sz w:val="22"/>
          <w:szCs w:val="22"/>
        </w:rPr>
      </w:pPr>
      <w:r>
        <w:rPr>
          <w:b/>
          <w:sz w:val="22"/>
          <w:szCs w:val="22"/>
        </w:rPr>
        <w:t>3</w:t>
      </w:r>
      <w:r w:rsidR="00636AC2">
        <w:rPr>
          <w:b/>
          <w:sz w:val="22"/>
          <w:szCs w:val="22"/>
        </w:rPr>
        <w:t>. Diverse certificering</w:t>
      </w:r>
    </w:p>
    <w:p w:rsidR="00636AC2" w:rsidRDefault="00174E32" w:rsidP="00787EAA">
      <w:pPr>
        <w:spacing w:after="120"/>
        <w:ind w:left="357"/>
      </w:pPr>
      <w:r>
        <w:rPr>
          <w:b/>
        </w:rPr>
        <w:t>3</w:t>
      </w:r>
      <w:r w:rsidR="00636AC2">
        <w:rPr>
          <w:b/>
        </w:rPr>
        <w:t>. a) Ori</w:t>
      </w:r>
      <w:r>
        <w:rPr>
          <w:b/>
        </w:rPr>
        <w:t>entering om arbejdet i EU og OECD</w:t>
      </w:r>
    </w:p>
    <w:p w:rsidR="00D10E21" w:rsidRPr="00D10E21" w:rsidRDefault="00D10E21" w:rsidP="00787EAA">
      <w:pPr>
        <w:spacing w:after="120"/>
        <w:ind w:left="357"/>
        <w:rPr>
          <w:u w:val="single"/>
        </w:rPr>
      </w:pPr>
      <w:r w:rsidRPr="00D10E21">
        <w:rPr>
          <w:u w:val="single"/>
        </w:rPr>
        <w:t>EU</w:t>
      </w:r>
      <w:r>
        <w:rPr>
          <w:u w:val="single"/>
        </w:rPr>
        <w:t>:</w:t>
      </w:r>
    </w:p>
    <w:p w:rsidR="00636AC2" w:rsidRDefault="00D6793D" w:rsidP="00787EAA">
      <w:pPr>
        <w:spacing w:after="120"/>
        <w:ind w:left="357"/>
      </w:pPr>
      <w:r>
        <w:t xml:space="preserve">Referat fra seneste </w:t>
      </w:r>
      <w:proofErr w:type="spellStart"/>
      <w:r>
        <w:t>SCoPAFF</w:t>
      </w:r>
      <w:proofErr w:type="spellEnd"/>
      <w:r>
        <w:t xml:space="preserve"> møde 19. april er sendt til udvalget. Det blev aftalt, at MEB sender bilag om brug af almindelige artsnavne til AEF og CB til kommentering inden Kommissionens (KOM) høringsfrist 15. maj.</w:t>
      </w:r>
    </w:p>
    <w:p w:rsidR="00124AF8" w:rsidRDefault="00124AF8" w:rsidP="00787EAA">
      <w:pPr>
        <w:spacing w:after="120"/>
        <w:ind w:left="357"/>
      </w:pPr>
      <w:r>
        <w:t xml:space="preserve">MEB </w:t>
      </w:r>
      <w:proofErr w:type="spellStart"/>
      <w:r>
        <w:t>referede</w:t>
      </w:r>
      <w:proofErr w:type="spellEnd"/>
      <w:r>
        <w:t xml:space="preserve"> fra </w:t>
      </w:r>
      <w:proofErr w:type="spellStart"/>
      <w:r>
        <w:t>KOM’s</w:t>
      </w:r>
      <w:proofErr w:type="spellEnd"/>
      <w:r>
        <w:t xml:space="preserve"> arbejdsgruppemøde om populationer (heterogent materiale) den 20. april. [årsrapporten udsendes med referatet]. </w:t>
      </w:r>
    </w:p>
    <w:p w:rsidR="00124AF8" w:rsidRDefault="00124AF8" w:rsidP="00124AF8">
      <w:pPr>
        <w:ind w:firstLine="357"/>
      </w:pPr>
      <w:r>
        <w:t>På mødet blev følgende udfordringer identificeret:</w:t>
      </w:r>
    </w:p>
    <w:p w:rsidR="00124AF8" w:rsidRDefault="00124AF8" w:rsidP="00124AF8">
      <w:pPr>
        <w:pStyle w:val="Listeafsnit"/>
        <w:numPr>
          <w:ilvl w:val="0"/>
          <w:numId w:val="23"/>
        </w:numPr>
      </w:pPr>
      <w:r>
        <w:t>Identifikation af populationer</w:t>
      </w:r>
    </w:p>
    <w:p w:rsidR="00124AF8" w:rsidRDefault="00124AF8" w:rsidP="00124AF8">
      <w:pPr>
        <w:pStyle w:val="Listeafsnit"/>
        <w:numPr>
          <w:ilvl w:val="0"/>
          <w:numId w:val="23"/>
        </w:numPr>
      </w:pPr>
      <w:r>
        <w:t>Beskrivelse af populationer</w:t>
      </w:r>
    </w:p>
    <w:p w:rsidR="00124AF8" w:rsidRDefault="00124AF8" w:rsidP="00124AF8">
      <w:pPr>
        <w:pStyle w:val="Listeafsnit"/>
        <w:numPr>
          <w:ilvl w:val="0"/>
          <w:numId w:val="23"/>
        </w:numPr>
      </w:pPr>
      <w:r>
        <w:t>Adskillelse af populationer</w:t>
      </w:r>
    </w:p>
    <w:p w:rsidR="00124AF8" w:rsidRDefault="00124AF8" w:rsidP="00124AF8">
      <w:pPr>
        <w:pStyle w:val="Listeafsnit"/>
        <w:numPr>
          <w:ilvl w:val="0"/>
          <w:numId w:val="23"/>
        </w:numPr>
      </w:pPr>
      <w:r>
        <w:t>Kan kun bekræfte at der er tale om en population af en given art.</w:t>
      </w:r>
    </w:p>
    <w:p w:rsidR="00124AF8" w:rsidRDefault="00124AF8" w:rsidP="00124AF8"/>
    <w:p w:rsidR="00124AF8" w:rsidRDefault="00124AF8" w:rsidP="00124AF8">
      <w:pPr>
        <w:ind w:firstLine="360"/>
      </w:pPr>
      <w:r>
        <w:t>Forslag til kontrol:</w:t>
      </w:r>
    </w:p>
    <w:p w:rsidR="00124AF8" w:rsidRDefault="00124AF8" w:rsidP="00124AF8">
      <w:pPr>
        <w:pStyle w:val="Listeafsnit"/>
        <w:numPr>
          <w:ilvl w:val="0"/>
          <w:numId w:val="23"/>
        </w:numPr>
      </w:pPr>
      <w:r>
        <w:t>Sporbarhed og procescertificering er mulige grundelementer</w:t>
      </w:r>
    </w:p>
    <w:p w:rsidR="00124AF8" w:rsidRDefault="00124AF8" w:rsidP="00124AF8">
      <w:pPr>
        <w:pStyle w:val="Listeafsnit"/>
        <w:numPr>
          <w:ilvl w:val="0"/>
          <w:numId w:val="23"/>
        </w:numPr>
      </w:pPr>
      <w:r>
        <w:t xml:space="preserve">Anmeldelse og forædlerens logbog kan </w:t>
      </w:r>
      <w:proofErr w:type="spellStart"/>
      <w:r>
        <w:t>checkes</w:t>
      </w:r>
      <w:proofErr w:type="spellEnd"/>
    </w:p>
    <w:p w:rsidR="00124AF8" w:rsidRDefault="00124AF8" w:rsidP="00124AF8">
      <w:pPr>
        <w:pStyle w:val="Listeafsnit"/>
        <w:numPr>
          <w:ilvl w:val="0"/>
          <w:numId w:val="23"/>
        </w:numPr>
      </w:pPr>
      <w:r>
        <w:t>Kontroldyrkning giver ingen mening</w:t>
      </w:r>
    </w:p>
    <w:p w:rsidR="00124AF8" w:rsidRDefault="00124AF8" w:rsidP="00124AF8"/>
    <w:p w:rsidR="00124AF8" w:rsidRDefault="00124AF8" w:rsidP="00124AF8">
      <w:pPr>
        <w:ind w:firstLine="360"/>
      </w:pPr>
      <w:r>
        <w:t>Mulige justeringer til forsøget/permanente regler til videre overvejelse:</w:t>
      </w:r>
    </w:p>
    <w:p w:rsidR="00124AF8" w:rsidRDefault="00124AF8" w:rsidP="00124AF8">
      <w:pPr>
        <w:pStyle w:val="Listeafsnit"/>
        <w:numPr>
          <w:ilvl w:val="0"/>
          <w:numId w:val="23"/>
        </w:numPr>
      </w:pPr>
      <w:r>
        <w:t>Mulighed for brug af ”lukket kredsløb”</w:t>
      </w:r>
    </w:p>
    <w:p w:rsidR="00124AF8" w:rsidRDefault="00124AF8" w:rsidP="00124AF8">
      <w:pPr>
        <w:pStyle w:val="Listeafsnit"/>
        <w:numPr>
          <w:ilvl w:val="0"/>
          <w:numId w:val="23"/>
        </w:numPr>
      </w:pPr>
      <w:r>
        <w:t xml:space="preserve">Region of </w:t>
      </w:r>
      <w:proofErr w:type="spellStart"/>
      <w:r>
        <w:t>production</w:t>
      </w:r>
      <w:proofErr w:type="spellEnd"/>
    </w:p>
    <w:p w:rsidR="00124AF8" w:rsidRPr="001218F5" w:rsidRDefault="00124AF8" w:rsidP="00124AF8">
      <w:pPr>
        <w:pStyle w:val="Listeafsnit"/>
        <w:numPr>
          <w:ilvl w:val="0"/>
          <w:numId w:val="23"/>
        </w:numPr>
      </w:pPr>
      <w:r>
        <w:t xml:space="preserve">Mulighed for udvikling og selektion i </w:t>
      </w:r>
      <w:proofErr w:type="spellStart"/>
      <w:r>
        <w:t>pop’s</w:t>
      </w:r>
      <w:proofErr w:type="spellEnd"/>
    </w:p>
    <w:p w:rsidR="00D966C5" w:rsidRDefault="00D966C5" w:rsidP="00787EAA">
      <w:pPr>
        <w:spacing w:after="120"/>
        <w:ind w:left="357"/>
      </w:pPr>
    </w:p>
    <w:p w:rsidR="005E08EA" w:rsidRDefault="005E08EA" w:rsidP="00787EAA">
      <w:pPr>
        <w:spacing w:after="120"/>
        <w:ind w:left="357"/>
      </w:pPr>
      <w:r>
        <w:t xml:space="preserve">MEB sagde, at enheden EU &amp; Erhverv, som arbejder med økologi i LBST, har igangsat en dialoggruppe </w:t>
      </w:r>
      <w:r w:rsidR="0079070D">
        <w:t xml:space="preserve">under Det økologiske Fødevareråd </w:t>
      </w:r>
      <w:r>
        <w:t>om implementering af den kommende økologiforordning, herunder heterogent materiale og økologiske sorter.</w:t>
      </w:r>
    </w:p>
    <w:p w:rsidR="005E08EA" w:rsidRPr="0079070D" w:rsidRDefault="005E08EA" w:rsidP="00787EAA">
      <w:pPr>
        <w:spacing w:after="120"/>
        <w:ind w:left="357"/>
      </w:pPr>
      <w:r w:rsidRPr="0079070D">
        <w:t xml:space="preserve">Første møde i </w:t>
      </w:r>
      <w:r w:rsidR="0079070D" w:rsidRPr="0079070D">
        <w:t>dialog</w:t>
      </w:r>
      <w:r w:rsidRPr="0079070D">
        <w:t xml:space="preserve">gruppen var 1. maj med deltagelse af SEGES, Økologisk Landsforening og Landbrug &amp; Fødevarer. SVS sagde, at Frøavlerne også er </w:t>
      </w:r>
      <w:r w:rsidR="0079070D" w:rsidRPr="0079070D">
        <w:t xml:space="preserve">meget </w:t>
      </w:r>
      <w:r w:rsidRPr="0079070D">
        <w:t>interesserede i dette arbejde</w:t>
      </w:r>
      <w:r w:rsidR="0079070D" w:rsidRPr="0079070D">
        <w:t xml:space="preserve"> og de muligheder det giver. </w:t>
      </w:r>
    </w:p>
    <w:p w:rsidR="00D10E21" w:rsidRPr="0079070D" w:rsidRDefault="00D10E21" w:rsidP="00787EAA">
      <w:pPr>
        <w:spacing w:after="120"/>
        <w:ind w:left="357"/>
        <w:rPr>
          <w:u w:val="single"/>
        </w:rPr>
      </w:pPr>
      <w:r w:rsidRPr="0079070D">
        <w:rPr>
          <w:u w:val="single"/>
        </w:rPr>
        <w:t>OECD:</w:t>
      </w:r>
    </w:p>
    <w:p w:rsidR="00D10E21" w:rsidRPr="0079070D" w:rsidRDefault="00D6793D" w:rsidP="00787EAA">
      <w:pPr>
        <w:spacing w:after="120"/>
        <w:ind w:left="357"/>
      </w:pPr>
      <w:r w:rsidRPr="0079070D">
        <w:lastRenderedPageBreak/>
        <w:t>MEB fremhævede udvalgte punkter fra agendaerne til dette års OECD møde om frø, som finder sted i slutningen af juni [Agenda til årsmødet sendes ud med referatet].</w:t>
      </w:r>
    </w:p>
    <w:p w:rsidR="005E08EA" w:rsidRPr="0079070D" w:rsidRDefault="005E08EA" w:rsidP="005E08EA">
      <w:pPr>
        <w:spacing w:after="120"/>
        <w:ind w:left="357"/>
      </w:pPr>
      <w:r w:rsidRPr="0079070D">
        <w:rPr>
          <w:b/>
        </w:rPr>
        <w:t>3. b) Orientering om planlagte bekendtgørelsesændringer</w:t>
      </w:r>
    </w:p>
    <w:p w:rsidR="005E08EA" w:rsidRDefault="005E08EA" w:rsidP="005E08EA">
      <w:pPr>
        <w:spacing w:after="120"/>
        <w:ind w:left="357"/>
      </w:pPr>
      <w:r w:rsidRPr="0079070D">
        <w:t>MEB sagde, at LBST planlægger</w:t>
      </w:r>
      <w:r w:rsidR="0079070D" w:rsidRPr="0079070D">
        <w:t>/analyserer</w:t>
      </w:r>
      <w:r w:rsidRPr="0079070D">
        <w:t xml:space="preserve"> ændringer </w:t>
      </w:r>
      <w:r w:rsidR="0079070D" w:rsidRPr="0079070D">
        <w:t>i forhold til anmeldelser fra lande uden for EU</w:t>
      </w:r>
      <w:r w:rsidR="0079070D">
        <w:t xml:space="preserve"> (både af nye sorter og arealer til avlskontrol), ligestilling af Brasilien og Moldova, autorisation af </w:t>
      </w:r>
      <w:proofErr w:type="spellStart"/>
      <w:r w:rsidR="0079070D">
        <w:t>prøvetagere</w:t>
      </w:r>
      <w:proofErr w:type="spellEnd"/>
      <w:r w:rsidR="0079070D">
        <w:t xml:space="preserve"> samt frister for anmeldelser til kontroldyrkning og avlskontrol. Hvis muligt vil ændringerne træde i kraft 1. januar 2019.</w:t>
      </w:r>
    </w:p>
    <w:p w:rsidR="00D9782B" w:rsidRDefault="00D9782B" w:rsidP="00D9782B">
      <w:pPr>
        <w:spacing w:after="120"/>
        <w:ind w:left="357"/>
      </w:pPr>
      <w:r>
        <w:rPr>
          <w:b/>
        </w:rPr>
        <w:t>3</w:t>
      </w:r>
      <w:r w:rsidR="005E08EA">
        <w:rPr>
          <w:b/>
        </w:rPr>
        <w:t>. c</w:t>
      </w:r>
      <w:r>
        <w:rPr>
          <w:b/>
        </w:rPr>
        <w:t>) Orientering om møde i Arbejdsgruppen om certificering 26. oktober 2017</w:t>
      </w:r>
    </w:p>
    <w:p w:rsidR="00D9782B" w:rsidRDefault="00D9782B" w:rsidP="00D9782B">
      <w:pPr>
        <w:spacing w:after="120"/>
        <w:ind w:left="357"/>
      </w:pPr>
      <w:r>
        <w:t xml:space="preserve">GDE orienterede om et godt møde i arbejdsgruppen. Referatet vil blive lagt på </w:t>
      </w:r>
      <w:proofErr w:type="spellStart"/>
      <w:r>
        <w:t>LBST’s</w:t>
      </w:r>
      <w:proofErr w:type="spellEnd"/>
      <w:r>
        <w:t xml:space="preserve"> hjemmeside</w:t>
      </w:r>
      <w:r w:rsidR="0064543A">
        <w:t>, når det foreligger</w:t>
      </w:r>
      <w:r>
        <w:t xml:space="preserve">: </w:t>
      </w:r>
    </w:p>
    <w:p w:rsidR="00D9782B" w:rsidRDefault="00865B93" w:rsidP="00D9782B">
      <w:pPr>
        <w:spacing w:after="120"/>
        <w:ind w:left="357"/>
      </w:pPr>
      <w:hyperlink r:id="rId8" w:history="1">
        <w:r w:rsidR="00D9782B" w:rsidRPr="00D9782B">
          <w:rPr>
            <w:rStyle w:val="Hyperlink"/>
          </w:rPr>
          <w:t>Arbejdsgruppen om certificering af frø og sædekorn - Landbrugsstyrelsen</w:t>
        </w:r>
      </w:hyperlink>
    </w:p>
    <w:p w:rsidR="00E32461" w:rsidRDefault="0079070D" w:rsidP="00D9782B">
      <w:pPr>
        <w:spacing w:after="120"/>
        <w:ind w:left="357"/>
      </w:pPr>
      <w:r>
        <w:t xml:space="preserve">TF overvejer, at tage temaer op for at sikre en større involvering af virksomhederne i møderne. </w:t>
      </w:r>
      <w:r w:rsidR="0064543A">
        <w:t>Det er aftalt, at virksomhederne sender beskrivelse af deres proces i forbindelse med brug af lønarbejde. Det skal bruges som grundlag for en beskrivelse i vejledningen.</w:t>
      </w:r>
    </w:p>
    <w:p w:rsidR="00D10E21" w:rsidRDefault="00174E32" w:rsidP="00787EAA">
      <w:pPr>
        <w:spacing w:after="120"/>
        <w:ind w:left="357"/>
      </w:pPr>
      <w:r>
        <w:rPr>
          <w:b/>
        </w:rPr>
        <w:t>3</w:t>
      </w:r>
      <w:r w:rsidR="00D10E21">
        <w:rPr>
          <w:b/>
        </w:rPr>
        <w:t xml:space="preserve">. </w:t>
      </w:r>
      <w:r w:rsidR="0074794E">
        <w:rPr>
          <w:b/>
        </w:rPr>
        <w:t>d</w:t>
      </w:r>
      <w:r w:rsidR="00D10E21">
        <w:rPr>
          <w:b/>
        </w:rPr>
        <w:t xml:space="preserve">) </w:t>
      </w:r>
      <w:r w:rsidR="0064543A">
        <w:rPr>
          <w:b/>
        </w:rPr>
        <w:t>Eventuelle behov for ændring af normer for ukrudtsindhold i frø og sædekorn</w:t>
      </w:r>
    </w:p>
    <w:p w:rsidR="00D10E21" w:rsidRDefault="0064543A" w:rsidP="00787EAA">
      <w:pPr>
        <w:spacing w:after="120"/>
        <w:ind w:left="357"/>
      </w:pPr>
      <w:r>
        <w:t xml:space="preserve">MEB gennemgik bilaget og supplerede med, at LBST har bestilt en rapport om udbredelse af ager-rævehale og andre ukrudtsgræsser i Danmark i relation til produktion af frø og sædekorn. På gårsdagens markkontrollørmøde nævnte flere konsulenter også problemstillingen med græsukrudt i </w:t>
      </w:r>
      <w:proofErr w:type="spellStart"/>
      <w:r>
        <w:t>fht</w:t>
      </w:r>
      <w:proofErr w:type="spellEnd"/>
      <w:r>
        <w:t>. normerne.</w:t>
      </w:r>
    </w:p>
    <w:p w:rsidR="0064543A" w:rsidRDefault="0064543A" w:rsidP="00787EAA">
      <w:pPr>
        <w:spacing w:after="120"/>
        <w:ind w:left="357"/>
      </w:pPr>
      <w:r>
        <w:t xml:space="preserve">JBP sagde, at det ikke er et nyt problem, men der er en stigende tendens i forhold til resistent ukrudt. Der mangler datagrundlag i </w:t>
      </w:r>
      <w:proofErr w:type="spellStart"/>
      <w:r>
        <w:t>fht</w:t>
      </w:r>
      <w:proofErr w:type="spellEnd"/>
      <w:r>
        <w:t xml:space="preserve">. at vurdere </w:t>
      </w:r>
      <w:r w:rsidR="00150686">
        <w:t>problemets omfang i certificeret frø og sædekorn. Det er en vigtig parameter, hvis vi skal fastholde det høje certificeringsniveau i DK.</w:t>
      </w:r>
    </w:p>
    <w:p w:rsidR="00150686" w:rsidRDefault="00150686" w:rsidP="00787EAA">
      <w:pPr>
        <w:spacing w:after="120"/>
        <w:ind w:left="357"/>
      </w:pPr>
      <w:r>
        <w:t xml:space="preserve">BE sagde, at et udtræk fra </w:t>
      </w:r>
      <w:proofErr w:type="spellStart"/>
      <w:r>
        <w:t>Eurofinns</w:t>
      </w:r>
      <w:proofErr w:type="spellEnd"/>
      <w:r>
        <w:t xml:space="preserve"> tyder på, at det ikke er udsæden, der er problemet. I mere end 3.000 partier, var der kun fundet 6 frø af de </w:t>
      </w:r>
      <w:proofErr w:type="spellStart"/>
      <w:r>
        <w:t>småfrøede</w:t>
      </w:r>
      <w:proofErr w:type="spellEnd"/>
      <w:r>
        <w:t xml:space="preserve"> problemarter. </w:t>
      </w:r>
      <w:r w:rsidR="00A3588F">
        <w:t xml:space="preserve">BE pegede på mejetærskere, som en mulig forureningskilde i forbindelse med spredning af ukrudtsarterne. </w:t>
      </w:r>
      <w:r>
        <w:t>BE foreslog, at TF analyserer de data, som virksomhederne indsender i forbindelse med certificering.</w:t>
      </w:r>
    </w:p>
    <w:p w:rsidR="00A3588F" w:rsidRDefault="00150686" w:rsidP="00787EAA">
      <w:pPr>
        <w:spacing w:after="120"/>
        <w:ind w:left="357"/>
      </w:pPr>
      <w:r>
        <w:t>AM og LSB bekræftede, at deres gr</w:t>
      </w:r>
      <w:r w:rsidR="00ED29FC">
        <w:t>æ</w:t>
      </w:r>
      <w:r>
        <w:t xml:space="preserve">sfrøvirksomheder arbejder med en o-tolerance for </w:t>
      </w:r>
      <w:proofErr w:type="spellStart"/>
      <w:r>
        <w:t>agerrævehale</w:t>
      </w:r>
      <w:proofErr w:type="spellEnd"/>
      <w:r>
        <w:t xml:space="preserve">, da det er et stort problem, som på sigt kan true den danske græsfrødyrkning. UK har store problemer med resistent </w:t>
      </w:r>
      <w:proofErr w:type="spellStart"/>
      <w:r>
        <w:t>agerrævehale</w:t>
      </w:r>
      <w:proofErr w:type="spellEnd"/>
      <w:r>
        <w:t>, og det er et begyndende problem i DK.</w:t>
      </w:r>
      <w:r w:rsidR="00A3588F">
        <w:t xml:space="preserve"> </w:t>
      </w:r>
    </w:p>
    <w:p w:rsidR="00150686" w:rsidRDefault="00A3588F" w:rsidP="00787EAA">
      <w:pPr>
        <w:spacing w:after="120"/>
        <w:ind w:left="357"/>
      </w:pPr>
      <w:r>
        <w:t>Dansk Frø er indstillet på en 0-telerance.</w:t>
      </w:r>
      <w:r w:rsidR="00B86326">
        <w:t xml:space="preserve"> LBST sagde, at der i givet fald vil være tale om overimplementering i </w:t>
      </w:r>
      <w:proofErr w:type="spellStart"/>
      <w:r w:rsidR="00B86326">
        <w:t>fht</w:t>
      </w:r>
      <w:proofErr w:type="spellEnd"/>
      <w:r w:rsidR="00B86326">
        <w:t>. EU normen. AM sagde, at det kan være svært at løfte den til KOM, da MS har meget forskellige holdninger og problemer.</w:t>
      </w:r>
    </w:p>
    <w:p w:rsidR="00B86326" w:rsidRDefault="00B86326" w:rsidP="00787EAA">
      <w:pPr>
        <w:spacing w:after="120"/>
        <w:ind w:left="357"/>
      </w:pPr>
      <w:r>
        <w:t>Punktet drøftes igen, når data fra TF og analyse fra AU foreligger.</w:t>
      </w:r>
    </w:p>
    <w:p w:rsidR="00D9782B" w:rsidRDefault="00D9782B" w:rsidP="00D9782B">
      <w:pPr>
        <w:spacing w:after="120"/>
        <w:ind w:left="357"/>
      </w:pPr>
      <w:r>
        <w:rPr>
          <w:b/>
        </w:rPr>
        <w:t xml:space="preserve">3. e) </w:t>
      </w:r>
      <w:r w:rsidR="00B86326">
        <w:rPr>
          <w:b/>
        </w:rPr>
        <w:t xml:space="preserve">Hvad skal og kan sortslisten og EU’s fælles </w:t>
      </w:r>
      <w:proofErr w:type="spellStart"/>
      <w:r w:rsidR="00B86326">
        <w:rPr>
          <w:b/>
        </w:rPr>
        <w:t>sortsliste</w:t>
      </w:r>
      <w:proofErr w:type="spellEnd"/>
      <w:r w:rsidR="00B86326">
        <w:rPr>
          <w:b/>
        </w:rPr>
        <w:t xml:space="preserve"> rumme af oplysninger</w:t>
      </w:r>
    </w:p>
    <w:p w:rsidR="003E7980" w:rsidRDefault="00B86326" w:rsidP="00D9782B">
      <w:pPr>
        <w:spacing w:after="120"/>
        <w:ind w:left="357"/>
      </w:pPr>
      <w:r>
        <w:lastRenderedPageBreak/>
        <w:t>KRRI</w:t>
      </w:r>
      <w:r w:rsidR="003E7980">
        <w:t xml:space="preserve"> nævnte, at i forbindelse med temadagen om NBT blev det nævnt, at man </w:t>
      </w:r>
      <w:r w:rsidR="003627FA">
        <w:t xml:space="preserve">evt. </w:t>
      </w:r>
      <w:r w:rsidR="003E7980">
        <w:t>kunne oplyse hvilken forædlingsmetode, der var anvendt</w:t>
      </w:r>
      <w:r w:rsidR="003627FA">
        <w:t xml:space="preserve"> i forbindelse med sortslisteoptagelse</w:t>
      </w:r>
      <w:r w:rsidR="003E7980">
        <w:t xml:space="preserve">. </w:t>
      </w:r>
      <w:r w:rsidR="003627FA">
        <w:t>Der</w:t>
      </w:r>
      <w:r w:rsidR="003E7980">
        <w:t xml:space="preserve"> vil </w:t>
      </w:r>
      <w:r w:rsidR="003627FA">
        <w:t>næppe være</w:t>
      </w:r>
      <w:r w:rsidR="003E7980">
        <w:t xml:space="preserve"> proportionalitet, da ikke </w:t>
      </w:r>
      <w:r w:rsidR="003627FA">
        <w:t>alle områder vil være omfattet</w:t>
      </w:r>
      <w:r w:rsidR="003E7980">
        <w:t xml:space="preserve">, </w:t>
      </w:r>
      <w:r w:rsidR="003627FA">
        <w:t>herunder</w:t>
      </w:r>
      <w:r w:rsidR="003E7980">
        <w:t xml:space="preserve"> fx prydplanter</w:t>
      </w:r>
      <w:r w:rsidR="003627FA">
        <w:t>, der</w:t>
      </w:r>
      <w:r w:rsidR="003E7980">
        <w:t xml:space="preserve"> ikke er på nogen </w:t>
      </w:r>
      <w:proofErr w:type="spellStart"/>
      <w:r w:rsidR="003E7980">
        <w:t>sortsliste</w:t>
      </w:r>
      <w:proofErr w:type="spellEnd"/>
      <w:r w:rsidR="003E7980">
        <w:t xml:space="preserve">, da de ikke er indeholdt i et fødevareforsyningselement. </w:t>
      </w:r>
    </w:p>
    <w:p w:rsidR="00277291" w:rsidRDefault="003E7980" w:rsidP="00277291">
      <w:pPr>
        <w:spacing w:after="120"/>
        <w:ind w:left="357"/>
      </w:pPr>
      <w:r>
        <w:t xml:space="preserve">AB mente, at det kunne rejse nogle handelstekniske problemer, da vi er meget afhængige af samhandel. AB var i stedet tilhænger af, at der er en generel accept af hvilke harmoniserede metoder, der må anvendes. </w:t>
      </w:r>
    </w:p>
    <w:p w:rsidR="00D10E21" w:rsidRPr="00D9782B" w:rsidRDefault="00174E32" w:rsidP="00787EAA">
      <w:pPr>
        <w:spacing w:after="120"/>
        <w:ind w:left="357"/>
        <w:rPr>
          <w:b/>
        </w:rPr>
      </w:pPr>
      <w:r w:rsidRPr="00D9782B">
        <w:rPr>
          <w:b/>
        </w:rPr>
        <w:t>3</w:t>
      </w:r>
      <w:r w:rsidR="00D9782B" w:rsidRPr="00D9782B">
        <w:rPr>
          <w:b/>
        </w:rPr>
        <w:t>. f</w:t>
      </w:r>
      <w:r w:rsidR="00D10E21" w:rsidRPr="00D9782B">
        <w:rPr>
          <w:b/>
        </w:rPr>
        <w:t xml:space="preserve">) </w:t>
      </w:r>
      <w:r w:rsidR="00D9782B" w:rsidRPr="00D9782B">
        <w:rPr>
          <w:b/>
          <w:color w:val="000000"/>
        </w:rPr>
        <w:t>Screening af udsæd af majs og raps fra andre EU-lande samt importer fra tredjelande af majs, raps og lucerne for tilstedeværelse af ikke-godkendte GMO’er</w:t>
      </w:r>
    </w:p>
    <w:p w:rsidR="00D966C5" w:rsidRDefault="00D966C5" w:rsidP="00D9782B">
      <w:pPr>
        <w:spacing w:after="120"/>
        <w:ind w:left="357"/>
        <w:rPr>
          <w:rFonts w:cs="Arial"/>
          <w:u w:val="single"/>
        </w:rPr>
      </w:pPr>
      <w:r>
        <w:rPr>
          <w:rFonts w:cs="Arial"/>
          <w:u w:val="single"/>
        </w:rPr>
        <w:t>Kontrol</w:t>
      </w:r>
    </w:p>
    <w:p w:rsidR="00277291" w:rsidRDefault="00277291" w:rsidP="00D9782B">
      <w:pPr>
        <w:spacing w:after="120"/>
        <w:ind w:left="357"/>
        <w:rPr>
          <w:rFonts w:cs="Arial"/>
        </w:rPr>
      </w:pPr>
      <w:r>
        <w:rPr>
          <w:rFonts w:cs="Arial"/>
        </w:rPr>
        <w:t>MEB orienterede om styrelsens risikovurdering og planlagte kontrol af tilstedeværelse af ikke-godkendte GMO’er i 2018. Der er planlagt 15 administrative kontroller i forbindelse med anmeldelse af import af majs, raps og lucerne, samt 50 prøveudtagninger ved fysiske kontroller af importer af majs, raps og lucerne, samt screening af frø af majs og raps fra andre EU-medlemsstater, handel med dansk udviklede prydplanter og enkelte kontroller af akvariefisk.</w:t>
      </w:r>
    </w:p>
    <w:p w:rsidR="00D966C5" w:rsidRDefault="00D966C5" w:rsidP="00D9782B">
      <w:pPr>
        <w:spacing w:after="120"/>
        <w:ind w:left="357"/>
        <w:rPr>
          <w:rFonts w:cs="Arial"/>
          <w:u w:val="single"/>
        </w:rPr>
      </w:pPr>
      <w:r>
        <w:rPr>
          <w:rFonts w:cs="Arial"/>
          <w:u w:val="single"/>
        </w:rPr>
        <w:t>Vejledning</w:t>
      </w:r>
    </w:p>
    <w:p w:rsidR="00D9782B" w:rsidRDefault="00277291" w:rsidP="00D9782B">
      <w:pPr>
        <w:spacing w:after="120"/>
        <w:ind w:left="357"/>
      </w:pPr>
      <w:r>
        <w:rPr>
          <w:rFonts w:cs="Arial"/>
        </w:rPr>
        <w:t xml:space="preserve">LBO </w:t>
      </w:r>
      <w:r w:rsidR="00D9782B" w:rsidRPr="00D9782B">
        <w:rPr>
          <w:rFonts w:cs="Arial"/>
        </w:rPr>
        <w:t xml:space="preserve">oplyste om, at man overvejede at udarbejde en vejledning til importører af frø og vegetativt formeringsmateriale (af landbrugsplanter) om, hvad de kan gøre for at mindske risikoen for, at der utilsigtet er blandet ikke-godkendt, genetisk modificeret materiale i det importerede frø eller vegetative formeringsmateriale. LBST overvejede ligeledes at udarbejde en tilsvarende vejledning for importører og producenter af prydplanter. LBST spurgte, om der var behov for sådanne vejledninger og – i givet fald – om der var nogle medlemmer, som ville gennemgå og kommentere </w:t>
      </w:r>
      <w:proofErr w:type="spellStart"/>
      <w:r w:rsidR="00D9782B" w:rsidRPr="00D9782B">
        <w:rPr>
          <w:rFonts w:cs="Arial"/>
        </w:rPr>
        <w:t>LBSTs</w:t>
      </w:r>
      <w:proofErr w:type="spellEnd"/>
      <w:r w:rsidR="00D9782B" w:rsidRPr="00D9782B">
        <w:rPr>
          <w:rFonts w:cs="Arial"/>
        </w:rPr>
        <w:t xml:space="preserve"> udkast til vejledninger.</w:t>
      </w:r>
      <w:r w:rsidR="00D9782B" w:rsidRPr="00D9782B">
        <w:t xml:space="preserve"> </w:t>
      </w:r>
    </w:p>
    <w:p w:rsidR="00D9782B" w:rsidRPr="00D9782B" w:rsidRDefault="00D9782B" w:rsidP="00D9782B">
      <w:pPr>
        <w:spacing w:after="120"/>
        <w:ind w:left="357"/>
      </w:pPr>
      <w:r w:rsidRPr="00D9782B">
        <w:rPr>
          <w:rFonts w:cs="Arial"/>
        </w:rPr>
        <w:t>Flere medlemmer mente, at de pågældende vejledninger kunne være nyttige og påpegede, at der også var behov for fælles EU-retningslinjer. Anders Mondrup og Anne Fabricius meldte sig til at kommentere udkastet til vejledning om henholdsvis landbrugsplanter og prydplanter.</w:t>
      </w:r>
    </w:p>
    <w:p w:rsidR="00D966C5" w:rsidRDefault="00D966C5" w:rsidP="00D966C5">
      <w:pPr>
        <w:spacing w:after="120"/>
        <w:ind w:left="357"/>
        <w:rPr>
          <w:u w:val="single"/>
        </w:rPr>
      </w:pPr>
      <w:r>
        <w:rPr>
          <w:u w:val="single"/>
        </w:rPr>
        <w:t>Debatmøde</w:t>
      </w:r>
    </w:p>
    <w:p w:rsidR="00D966C5" w:rsidRPr="00D966C5" w:rsidRDefault="00277291" w:rsidP="00D966C5">
      <w:pPr>
        <w:spacing w:after="120"/>
        <w:ind w:left="357"/>
      </w:pPr>
      <w:r>
        <w:t xml:space="preserve">MBS orienterede kort fra </w:t>
      </w:r>
      <w:r w:rsidR="00D966C5" w:rsidRPr="00D966C5">
        <w:t>debatmøde med etisk råd og det norske bioteknologirådet: Hvordan får vi et bæredygtigt landbrug i fremtiden – kan det lykkes uden GMO?</w:t>
      </w:r>
    </w:p>
    <w:p w:rsidR="00D966C5" w:rsidRPr="00D966C5" w:rsidRDefault="00D966C5" w:rsidP="00D966C5">
      <w:pPr>
        <w:spacing w:after="120"/>
        <w:ind w:left="357"/>
      </w:pPr>
      <w:r w:rsidRPr="00D966C5">
        <w:t>Mødet starte</w:t>
      </w:r>
      <w:r>
        <w:t>de med præs</w:t>
      </w:r>
      <w:r w:rsidRPr="00D966C5">
        <w:t>entationer om verdens udfordringer i forhold til fødevareproduktion, teknisk gennemgang af metoder og forbrugerpræferencer. Herefter var der oplæg fra etikere som konkluderede</w:t>
      </w:r>
      <w:r>
        <w:t>,</w:t>
      </w:r>
      <w:r w:rsidRPr="00D966C5">
        <w:t xml:space="preserve"> at spørgsmålet om GMO/ikke-GMO er et spørgsmål om værdier og natursyn og opfattelsen af begrebet naturlighed og </w:t>
      </w:r>
      <w:r>
        <w:t xml:space="preserve">det </w:t>
      </w:r>
      <w:r w:rsidRPr="00D966C5">
        <w:t>løses ikke ved en diskussion baseret på naturvidenskab. Det norske reguleringsforslag med regulering inddelt i tre</w:t>
      </w:r>
      <w:r>
        <w:t xml:space="preserve"> </w:t>
      </w:r>
      <w:r w:rsidRPr="00D966C5">
        <w:t>niveauer efter ”sværhedsgrad” af genetisk ændring blev præsenteret. Der var en del diskussion, særligt om mærkning</w:t>
      </w:r>
      <w:r>
        <w:t>,</w:t>
      </w:r>
      <w:r w:rsidRPr="00D966C5">
        <w:t xml:space="preserve"> og til slut hånds</w:t>
      </w:r>
      <w:r w:rsidRPr="00D966C5">
        <w:lastRenderedPageBreak/>
        <w:t>oprækning på spørgsmålet om der skal findes MLO-resistent hvede fremkommet ved NBT på markedet om 10 år og om det skal være mærket. Svaret var fra salen var ja til produktet og nej til mærkning.</w:t>
      </w:r>
    </w:p>
    <w:p w:rsidR="00D966C5" w:rsidRDefault="00D966C5" w:rsidP="00787EAA">
      <w:pPr>
        <w:spacing w:after="120"/>
        <w:ind w:left="357"/>
      </w:pPr>
    </w:p>
    <w:p w:rsidR="00D9782B" w:rsidRPr="00D9782B" w:rsidRDefault="007B2F76" w:rsidP="00D9782B">
      <w:pPr>
        <w:spacing w:after="120"/>
        <w:ind w:left="357"/>
        <w:rPr>
          <w:b/>
          <w:sz w:val="22"/>
          <w:szCs w:val="22"/>
        </w:rPr>
      </w:pPr>
      <w:r>
        <w:rPr>
          <w:b/>
          <w:sz w:val="22"/>
          <w:szCs w:val="22"/>
        </w:rPr>
        <w:t>4. Eksport og dansk skadegørerstatus</w:t>
      </w:r>
    </w:p>
    <w:p w:rsidR="00D9782B" w:rsidRPr="00D9782B" w:rsidRDefault="009C4275" w:rsidP="00D9782B">
      <w:pPr>
        <w:spacing w:after="120"/>
        <w:ind w:left="357"/>
      </w:pPr>
      <w:r w:rsidRPr="00D9782B">
        <w:t xml:space="preserve">Planter har i 2018 givet AU til opgave at give skadegørerstatus på 150 skadegørere med relevans for dansk eksport af frø. </w:t>
      </w:r>
      <w:r>
        <w:t>F</w:t>
      </w:r>
      <w:r w:rsidR="00D9782B" w:rsidRPr="00D9782B">
        <w:t xml:space="preserve">røerhvervet har </w:t>
      </w:r>
      <w:r>
        <w:t xml:space="preserve">tidligere </w:t>
      </w:r>
      <w:r w:rsidR="00D9782B" w:rsidRPr="00D9782B">
        <w:t>givet udtryk for, at mangelfuld eller manglende data om en række skadegørere giver udford</w:t>
      </w:r>
      <w:r>
        <w:t>ringer med dansk eksport af frø.</w:t>
      </w:r>
      <w:r w:rsidR="00D9782B" w:rsidRPr="00D9782B">
        <w:t xml:space="preserve"> Frøerhvervet er forud for bestilling af opgaven blevet anmodet om at give input til hvilke skadegørere</w:t>
      </w:r>
      <w:r>
        <w:t>,</w:t>
      </w:r>
      <w:r w:rsidR="00D9782B" w:rsidRPr="00D9782B">
        <w:t xml:space="preserve"> der skulle opgøres status for. Planter </w:t>
      </w:r>
      <w:r>
        <w:t xml:space="preserve">supplerer </w:t>
      </w:r>
      <w:proofErr w:type="spellStart"/>
      <w:r w:rsidR="00D9782B" w:rsidRPr="00D9782B">
        <w:t>AUs</w:t>
      </w:r>
      <w:proofErr w:type="spellEnd"/>
      <w:r w:rsidR="00D9782B" w:rsidRPr="00D9782B">
        <w:t xml:space="preserve"> analyse</w:t>
      </w:r>
      <w:r>
        <w:t xml:space="preserve"> (primært litteraturstudier af offentligt tilgængeligt materiale)</w:t>
      </w:r>
      <w:r w:rsidR="00D9782B" w:rsidRPr="00D9782B">
        <w:t xml:space="preserve"> med kontroldata og data fra prøver fra </w:t>
      </w:r>
      <w:r>
        <w:t xml:space="preserve">Fødevarestyrelsens </w:t>
      </w:r>
      <w:r w:rsidR="00D9782B" w:rsidRPr="00D9782B">
        <w:t>laboratori</w:t>
      </w:r>
      <w:r>
        <w:t>um</w:t>
      </w:r>
      <w:r w:rsidR="00D9782B" w:rsidRPr="00D9782B">
        <w:t xml:space="preserve"> i Ringsted for derved at få så præcis en status som muligt. Derudover får Ghita Cortsen, SEGES, </w:t>
      </w:r>
      <w:r>
        <w:t>mulighed for at supplere</w:t>
      </w:r>
      <w:r w:rsidR="00D9782B" w:rsidRPr="00D9782B">
        <w:t xml:space="preserve"> med evt. tilføjelser fra hendes erfaringer ved SEGES. </w:t>
      </w:r>
    </w:p>
    <w:p w:rsidR="006B50DB" w:rsidRPr="00D9782B" w:rsidRDefault="00D9782B" w:rsidP="006B50DB">
      <w:pPr>
        <w:spacing w:after="120"/>
        <w:ind w:left="357"/>
      </w:pPr>
      <w:r w:rsidRPr="00D9782B">
        <w:t xml:space="preserve">Da en stor del af prøvedata fra laboratoriet udspringer af rekvirerede prøver, kræver udlevering af data om disse en samtykkeerklæring fra de pågældende virksomheder. </w:t>
      </w:r>
      <w:r w:rsidR="006B50DB" w:rsidRPr="00D9782B">
        <w:t xml:space="preserve">I henvendelsen til frøerhvervet </w:t>
      </w:r>
      <w:r w:rsidR="006B50DB">
        <w:t xml:space="preserve">om samtykke, </w:t>
      </w:r>
      <w:r w:rsidR="006B50DB" w:rsidRPr="00D9782B">
        <w:t>opfordres virk</w:t>
      </w:r>
      <w:r w:rsidR="006B50DB">
        <w:t>somhederne også til at dele egne</w:t>
      </w:r>
      <w:r w:rsidR="006B50DB" w:rsidRPr="00D9782B">
        <w:t xml:space="preserve"> data af relevans for udfærdigelse af statusserne med LBST. </w:t>
      </w:r>
      <w:r w:rsidR="009C4275">
        <w:t>Når det er på plads</w:t>
      </w:r>
      <w:r w:rsidR="002A35FF">
        <w:t xml:space="preserve"> vil Planter indhente de</w:t>
      </w:r>
      <w:r w:rsidRPr="00D9782B">
        <w:t xml:space="preserve"> sidste data fra laboratoriet og få statusserne gjort færdig</w:t>
      </w:r>
      <w:r w:rsidR="009C4275">
        <w:t>e</w:t>
      </w:r>
      <w:r w:rsidRPr="00D9782B">
        <w:t xml:space="preserve">, således at hjemmeside og diverse internationale databaser om skadegørere, kan blive ajourført. </w:t>
      </w:r>
    </w:p>
    <w:p w:rsidR="007B2F76" w:rsidRDefault="007B2F76" w:rsidP="00D9782B">
      <w:pPr>
        <w:spacing w:after="120"/>
        <w:ind w:left="357"/>
      </w:pPr>
      <w:r>
        <w:t xml:space="preserve">Der var ros til </w:t>
      </w:r>
      <w:proofErr w:type="spellStart"/>
      <w:r>
        <w:t>LBST’s</w:t>
      </w:r>
      <w:proofErr w:type="spellEnd"/>
      <w:r>
        <w:t xml:space="preserve"> håndtering af sagen med den afholdte møderække hos de relevante virksomheder. LBST blev opfordret til at inddrage virksomhedernes eksperter som supplement til AU og SEGES. SMM sagde</w:t>
      </w:r>
      <w:r w:rsidR="00174E32">
        <w:t xml:space="preserve">, at virksomhederne </w:t>
      </w:r>
      <w:r w:rsidR="002A35FF">
        <w:t xml:space="preserve">som nævnt </w:t>
      </w:r>
      <w:r w:rsidR="00174E32">
        <w:t>var blevet opfordret til at sende supplerende data i forbindelse med samtykkeerklæringerne, men at der også er en tidsmæssig faktor, hvor LBST ønsker at opdatere listen så hurtigt så muligt af hensyn til eksporten.</w:t>
      </w:r>
    </w:p>
    <w:p w:rsidR="00D966C5" w:rsidRDefault="00D966C5" w:rsidP="00D9782B">
      <w:pPr>
        <w:spacing w:after="120"/>
        <w:ind w:left="357"/>
      </w:pPr>
    </w:p>
    <w:p w:rsidR="00D10E21" w:rsidRDefault="00D10E21" w:rsidP="00787EAA">
      <w:pPr>
        <w:spacing w:after="120"/>
        <w:ind w:left="357"/>
        <w:rPr>
          <w:b/>
          <w:sz w:val="22"/>
          <w:szCs w:val="22"/>
        </w:rPr>
      </w:pPr>
      <w:r>
        <w:rPr>
          <w:b/>
          <w:sz w:val="22"/>
          <w:szCs w:val="22"/>
        </w:rPr>
        <w:t>5. Eventuelt</w:t>
      </w:r>
    </w:p>
    <w:p w:rsidR="00D10E21" w:rsidRPr="00D966C5" w:rsidRDefault="00D966C5" w:rsidP="00787EAA">
      <w:pPr>
        <w:spacing w:after="120"/>
        <w:ind w:left="357"/>
      </w:pPr>
      <w:r w:rsidRPr="00D966C5">
        <w:t>Næste møde</w:t>
      </w:r>
      <w:r>
        <w:t xml:space="preserve"> er 15. november </w:t>
      </w:r>
      <w:proofErr w:type="spellStart"/>
      <w:r>
        <w:t>kl</w:t>
      </w:r>
      <w:proofErr w:type="spellEnd"/>
      <w:r>
        <w:t xml:space="preserve"> 10-14 </w:t>
      </w:r>
      <w:r w:rsidR="00DC7A95">
        <w:t xml:space="preserve">på </w:t>
      </w:r>
      <w:proofErr w:type="spellStart"/>
      <w:r w:rsidR="00DC7A95">
        <w:t>TystofteFonden</w:t>
      </w:r>
      <w:proofErr w:type="spellEnd"/>
      <w:r w:rsidR="00DC7A95">
        <w:t>.</w:t>
      </w:r>
    </w:p>
    <w:p w:rsidR="00162CDA" w:rsidRDefault="00DC7A95" w:rsidP="00162CDA">
      <w:pPr>
        <w:spacing w:after="120"/>
        <w:ind w:left="357"/>
      </w:pPr>
      <w:r>
        <w:t>KRRI foreslog at tage temaer op på UPU møderne, som fx dagens punkt om patenter. Fx:</w:t>
      </w:r>
    </w:p>
    <w:p w:rsidR="00DC7A95" w:rsidRDefault="00DC7A95" w:rsidP="00DC7A95">
      <w:pPr>
        <w:pStyle w:val="Listeafsnit"/>
        <w:numPr>
          <w:ilvl w:val="0"/>
          <w:numId w:val="23"/>
        </w:numPr>
        <w:spacing w:after="120"/>
      </w:pPr>
      <w:r>
        <w:t>Digital dataudveksling</w:t>
      </w:r>
    </w:p>
    <w:p w:rsidR="00DC7A95" w:rsidRDefault="00DC7A95" w:rsidP="00DC7A95">
      <w:pPr>
        <w:pStyle w:val="Listeafsnit"/>
        <w:numPr>
          <w:ilvl w:val="0"/>
          <w:numId w:val="23"/>
        </w:numPr>
        <w:spacing w:after="120"/>
      </w:pPr>
      <w:r>
        <w:t>DNA profiler</w:t>
      </w:r>
    </w:p>
    <w:p w:rsidR="00DC7A95" w:rsidRDefault="00DC7A95" w:rsidP="00DC7A95">
      <w:pPr>
        <w:pStyle w:val="Listeafsnit"/>
        <w:numPr>
          <w:ilvl w:val="0"/>
          <w:numId w:val="23"/>
        </w:numPr>
        <w:spacing w:after="120"/>
      </w:pPr>
      <w:r>
        <w:t>Økologiforordningen</w:t>
      </w:r>
    </w:p>
    <w:p w:rsidR="00DC7A95" w:rsidRDefault="00DC7A95" w:rsidP="00DC7A95">
      <w:pPr>
        <w:pStyle w:val="Listeafsnit"/>
        <w:numPr>
          <w:ilvl w:val="0"/>
          <w:numId w:val="23"/>
        </w:numPr>
        <w:spacing w:after="120"/>
      </w:pPr>
      <w:r>
        <w:t>IMSOC platform for kontroldata</w:t>
      </w:r>
    </w:p>
    <w:p w:rsidR="00DC7A95" w:rsidRDefault="00DC7A95" w:rsidP="00DC7A95">
      <w:pPr>
        <w:pStyle w:val="Listeafsnit"/>
        <w:numPr>
          <w:ilvl w:val="0"/>
          <w:numId w:val="23"/>
        </w:numPr>
        <w:spacing w:after="120"/>
      </w:pPr>
      <w:proofErr w:type="spellStart"/>
      <w:r>
        <w:t>Brexit</w:t>
      </w:r>
      <w:proofErr w:type="spellEnd"/>
    </w:p>
    <w:p w:rsidR="00DC7A95" w:rsidRDefault="00DC7A95" w:rsidP="00DC7A95">
      <w:pPr>
        <w:pStyle w:val="Listeafsnit"/>
        <w:numPr>
          <w:ilvl w:val="0"/>
          <w:numId w:val="23"/>
        </w:numPr>
        <w:spacing w:after="120"/>
      </w:pPr>
      <w:r>
        <w:t>Kontraktavl/løndyrkning</w:t>
      </w:r>
    </w:p>
    <w:p w:rsidR="00DC7A95" w:rsidRDefault="00DC7A95" w:rsidP="00DC7A95">
      <w:pPr>
        <w:pStyle w:val="Listeafsnit"/>
        <w:numPr>
          <w:ilvl w:val="0"/>
          <w:numId w:val="23"/>
        </w:numPr>
        <w:spacing w:after="120"/>
      </w:pPr>
      <w:r>
        <w:t>Cannabis</w:t>
      </w:r>
    </w:p>
    <w:p w:rsidR="00DC7A95" w:rsidRDefault="00DC7A95" w:rsidP="00DC7A95">
      <w:pPr>
        <w:pStyle w:val="Listeafsnit"/>
        <w:numPr>
          <w:ilvl w:val="0"/>
          <w:numId w:val="23"/>
        </w:numPr>
        <w:spacing w:after="120"/>
      </w:pPr>
      <w:r>
        <w:lastRenderedPageBreak/>
        <w:t>Heterogent materiale.</w:t>
      </w:r>
    </w:p>
    <w:p w:rsidR="00DC7A95" w:rsidRPr="00D10E21" w:rsidRDefault="00DC7A95" w:rsidP="00DC7A95">
      <w:pPr>
        <w:spacing w:after="120"/>
        <w:ind w:left="360"/>
      </w:pPr>
      <w:r>
        <w:t>Det blev aftalt, at næste tema bliver den kommende økologiforordning med input fra LBST, AL og SVS.</w:t>
      </w:r>
    </w:p>
    <w:sectPr w:rsidR="00DC7A95" w:rsidRPr="00D10E21" w:rsidSect="00BA4AB4">
      <w:headerReference w:type="default" r:id="rId9"/>
      <w:footerReference w:type="even" r:id="rId10"/>
      <w:footerReference w:type="default" r:id="rId11"/>
      <w:headerReference w:type="first" r:id="rId12"/>
      <w:footerReference w:type="first" r:id="rId13"/>
      <w:pgSz w:w="11906" w:h="16838" w:code="9"/>
      <w:pgMar w:top="2041" w:right="1133" w:bottom="1701" w:left="1418" w:header="459" w:footer="7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E83" w:rsidRDefault="00267E83">
      <w:r>
        <w:separator/>
      </w:r>
    </w:p>
  </w:endnote>
  <w:endnote w:type="continuationSeparator" w:id="0">
    <w:p w:rsidR="00267E83" w:rsidRDefault="0026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950297">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4FE" w:rsidRDefault="007A04FE" w:rsidP="00BC1C77">
    <w:pPr>
      <w:pStyle w:val="Sidefod"/>
      <w:ind w:right="0"/>
      <w:jc w:val="right"/>
    </w:pPr>
    <w:r>
      <w:rPr>
        <w:rStyle w:val="Sidetal"/>
      </w:rPr>
      <w:fldChar w:fldCharType="begin"/>
    </w:r>
    <w:r>
      <w:rPr>
        <w:rStyle w:val="Sidetal"/>
      </w:rPr>
      <w:instrText xml:space="preserve"> PAGE </w:instrText>
    </w:r>
    <w:r>
      <w:rPr>
        <w:rStyle w:val="Sidetal"/>
      </w:rPr>
      <w:fldChar w:fldCharType="separate"/>
    </w:r>
    <w:r w:rsidR="00865B93">
      <w:rPr>
        <w:rStyle w:val="Sidetal"/>
        <w:noProof/>
      </w:rPr>
      <w:t>2</w:t>
    </w:r>
    <w:r>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3FE" w:rsidRPr="00950297" w:rsidRDefault="00950297" w:rsidP="00CF614F">
    <w:pPr>
      <w:pStyle w:val="Template-Address"/>
    </w:pPr>
    <w:bookmarkStart w:id="22" w:name="OFF_Institution"/>
    <w:bookmarkStart w:id="23" w:name="OFF_InstitutionHIF"/>
    <w:bookmarkStart w:id="24" w:name="XIF_MMFirstAddressLine"/>
    <w:bookmarkStart w:id="25" w:name="CNT_FooterFirst"/>
    <w:r w:rsidRPr="00950297">
      <w:t>Landbrugs- og Fiskeristyrelsen</w:t>
    </w:r>
    <w:bookmarkEnd w:id="22"/>
    <w:r w:rsidR="00FE03FE" w:rsidRPr="00950297">
      <w:t xml:space="preserve"> </w:t>
    </w:r>
    <w:bookmarkEnd w:id="23"/>
    <w:r w:rsidR="00FE03FE" w:rsidRPr="00950297">
      <w:t xml:space="preserve">• </w:t>
    </w:r>
    <w:bookmarkStart w:id="26" w:name="OFF_AddressA"/>
    <w:bookmarkStart w:id="27" w:name="OFF_AddressAHIF"/>
    <w:r w:rsidRPr="00950297">
      <w:t>Nyropsgade 30</w:t>
    </w:r>
    <w:bookmarkEnd w:id="26"/>
    <w:r w:rsidR="00FE03FE" w:rsidRPr="00950297">
      <w:t xml:space="preserve"> </w:t>
    </w:r>
    <w:bookmarkEnd w:id="27"/>
    <w:r w:rsidR="00FE03FE" w:rsidRPr="00950297">
      <w:rPr>
        <w:vanish/>
      </w:rPr>
      <w:t xml:space="preserve">• </w:t>
    </w:r>
    <w:bookmarkStart w:id="28" w:name="OFF_AddressB"/>
    <w:bookmarkStart w:id="29" w:name="OFF_AddressBHIF"/>
    <w:bookmarkEnd w:id="28"/>
    <w:r w:rsidR="00FE03FE" w:rsidRPr="00950297">
      <w:rPr>
        <w:vanish/>
      </w:rPr>
      <w:t xml:space="preserve"> </w:t>
    </w:r>
    <w:bookmarkEnd w:id="29"/>
    <w:r w:rsidR="00FE03FE" w:rsidRPr="00950297">
      <w:rPr>
        <w:vanish/>
      </w:rPr>
      <w:t xml:space="preserve">• </w:t>
    </w:r>
    <w:bookmarkStart w:id="30" w:name="OFF_AddressC"/>
    <w:bookmarkStart w:id="31" w:name="OFF_AddressCHIF"/>
    <w:bookmarkEnd w:id="30"/>
    <w:r w:rsidR="00FE03FE" w:rsidRPr="00950297">
      <w:rPr>
        <w:vanish/>
      </w:rPr>
      <w:t xml:space="preserve"> </w:t>
    </w:r>
    <w:bookmarkEnd w:id="31"/>
    <w:r w:rsidR="00FE03FE" w:rsidRPr="00950297">
      <w:t xml:space="preserve">• </w:t>
    </w:r>
    <w:bookmarkStart w:id="32" w:name="OFF_AddressD"/>
    <w:bookmarkStart w:id="33" w:name="OFF_AddressDHIF"/>
    <w:r w:rsidRPr="00950297">
      <w:t>1780</w:t>
    </w:r>
    <w:bookmarkEnd w:id="32"/>
    <w:r w:rsidR="00FE03FE" w:rsidRPr="00950297">
      <w:t xml:space="preserve"> </w:t>
    </w:r>
    <w:bookmarkStart w:id="34" w:name="OFF_City"/>
    <w:r>
      <w:t>København V</w:t>
    </w:r>
    <w:bookmarkEnd w:id="34"/>
    <w:r w:rsidR="00FE03FE" w:rsidRPr="00950297">
      <w:t xml:space="preserve"> </w:t>
    </w:r>
    <w:bookmarkEnd w:id="33"/>
  </w:p>
  <w:p w:rsidR="00FE03FE" w:rsidRPr="00950297" w:rsidRDefault="00950297" w:rsidP="00CF614F">
    <w:pPr>
      <w:pStyle w:val="Template-Address"/>
      <w:rPr>
        <w:lang w:val="en-US"/>
      </w:rPr>
    </w:pPr>
    <w:bookmarkStart w:id="35" w:name="LAN_Phone"/>
    <w:bookmarkStart w:id="36" w:name="OFF_PhoneHIF"/>
    <w:bookmarkStart w:id="37" w:name="XIF_MMSecondAddressLine"/>
    <w:bookmarkEnd w:id="24"/>
    <w:r w:rsidRPr="00950297">
      <w:rPr>
        <w:lang w:val="en-US"/>
      </w:rPr>
      <w:t>Tlf.</w:t>
    </w:r>
    <w:bookmarkEnd w:id="35"/>
    <w:r w:rsidR="00FE03FE" w:rsidRPr="00950297">
      <w:rPr>
        <w:lang w:val="en-US"/>
      </w:rPr>
      <w:t xml:space="preserve"> </w:t>
    </w:r>
    <w:bookmarkStart w:id="38" w:name="OFF_Phone"/>
    <w:r w:rsidRPr="00950297">
      <w:rPr>
        <w:lang w:val="en-US"/>
      </w:rPr>
      <w:t>33 95 80 00</w:t>
    </w:r>
    <w:bookmarkEnd w:id="38"/>
    <w:r w:rsidR="00FE03FE" w:rsidRPr="00950297">
      <w:rPr>
        <w:lang w:val="en-US"/>
      </w:rPr>
      <w:t xml:space="preserve"> </w:t>
    </w:r>
    <w:bookmarkEnd w:id="36"/>
    <w:r w:rsidR="00FE03FE" w:rsidRPr="00950297">
      <w:rPr>
        <w:vanish/>
        <w:lang w:val="en-US"/>
      </w:rPr>
      <w:t xml:space="preserve">• </w:t>
    </w:r>
    <w:bookmarkStart w:id="39" w:name="LAN_Fax"/>
    <w:bookmarkStart w:id="40" w:name="OFF_FaxHIF"/>
    <w:r w:rsidRPr="00950297">
      <w:rPr>
        <w:vanish/>
        <w:lang w:val="en-US"/>
      </w:rPr>
      <w:t>Fax</w:t>
    </w:r>
    <w:bookmarkEnd w:id="39"/>
    <w:r w:rsidR="00FE03FE" w:rsidRPr="00950297">
      <w:rPr>
        <w:vanish/>
        <w:lang w:val="en-US"/>
      </w:rPr>
      <w:t xml:space="preserve"> </w:t>
    </w:r>
    <w:bookmarkStart w:id="41" w:name="OFF_Fax"/>
    <w:bookmarkEnd w:id="41"/>
    <w:r w:rsidR="00FE03FE" w:rsidRPr="00950297">
      <w:rPr>
        <w:vanish/>
        <w:lang w:val="en-US"/>
      </w:rPr>
      <w:t xml:space="preserve"> </w:t>
    </w:r>
    <w:bookmarkEnd w:id="40"/>
    <w:r w:rsidR="00FE03FE" w:rsidRPr="00950297">
      <w:rPr>
        <w:vanish/>
        <w:lang w:val="en-US"/>
      </w:rPr>
      <w:t xml:space="preserve">• </w:t>
    </w:r>
    <w:bookmarkStart w:id="42" w:name="OFF_CVRHIF"/>
    <w:r w:rsidR="00FE03FE" w:rsidRPr="00950297">
      <w:rPr>
        <w:vanish/>
        <w:lang w:val="en-US"/>
      </w:rPr>
      <w:t xml:space="preserve">CVR </w:t>
    </w:r>
    <w:bookmarkStart w:id="43" w:name="OFF_CVR"/>
    <w:bookmarkEnd w:id="43"/>
    <w:r w:rsidR="00FE03FE" w:rsidRPr="00950297">
      <w:rPr>
        <w:vanish/>
        <w:lang w:val="en-US"/>
      </w:rPr>
      <w:t xml:space="preserve"> </w:t>
    </w:r>
    <w:bookmarkEnd w:id="42"/>
    <w:r w:rsidR="00FE03FE" w:rsidRPr="00950297">
      <w:rPr>
        <w:lang w:val="en-US"/>
      </w:rPr>
      <w:t xml:space="preserve">• </w:t>
    </w:r>
    <w:bookmarkStart w:id="44" w:name="OFF_EANHIF"/>
    <w:r w:rsidR="00FE03FE" w:rsidRPr="00950297">
      <w:rPr>
        <w:lang w:val="en-US"/>
      </w:rPr>
      <w:t xml:space="preserve">EAN </w:t>
    </w:r>
    <w:bookmarkStart w:id="45" w:name="OFF_EAN"/>
    <w:r w:rsidRPr="00950297">
      <w:rPr>
        <w:lang w:val="en-US"/>
      </w:rPr>
      <w:t>5798000877955</w:t>
    </w:r>
    <w:bookmarkEnd w:id="45"/>
    <w:r w:rsidR="00FE03FE" w:rsidRPr="00950297">
      <w:rPr>
        <w:lang w:val="en-US"/>
      </w:rPr>
      <w:t xml:space="preserve"> </w:t>
    </w:r>
    <w:bookmarkEnd w:id="44"/>
    <w:r w:rsidR="00FE03FE" w:rsidRPr="00950297">
      <w:rPr>
        <w:lang w:val="en-US"/>
      </w:rPr>
      <w:t xml:space="preserve">• </w:t>
    </w:r>
    <w:bookmarkStart w:id="46" w:name="OFF_Email"/>
    <w:bookmarkStart w:id="47" w:name="OFF_EmailHIF"/>
    <w:r w:rsidRPr="00950297">
      <w:rPr>
        <w:lang w:val="en-US"/>
      </w:rPr>
      <w:t>mail@lfst.dk</w:t>
    </w:r>
    <w:bookmarkEnd w:id="46"/>
    <w:r w:rsidR="00FE03FE" w:rsidRPr="00950297">
      <w:rPr>
        <w:lang w:val="en-US"/>
      </w:rPr>
      <w:t xml:space="preserve"> </w:t>
    </w:r>
    <w:bookmarkEnd w:id="47"/>
    <w:r w:rsidR="00FE03FE" w:rsidRPr="00950297">
      <w:rPr>
        <w:lang w:val="en-US"/>
      </w:rPr>
      <w:t xml:space="preserve">• </w:t>
    </w:r>
    <w:bookmarkStart w:id="48" w:name="OFF_Web"/>
    <w:bookmarkStart w:id="49" w:name="OFF_WebHIF"/>
    <w:r w:rsidRPr="00950297">
      <w:rPr>
        <w:lang w:val="en-US"/>
      </w:rPr>
      <w:t>www.lfst.dk</w:t>
    </w:r>
    <w:bookmarkEnd w:id="48"/>
    <w:r w:rsidR="00FE03FE" w:rsidRPr="00950297">
      <w:rPr>
        <w:lang w:val="en-US"/>
      </w:rPr>
      <w:t xml:space="preserve"> </w:t>
    </w:r>
    <w:bookmarkEnd w:id="37"/>
    <w:bookmarkEnd w:id="49"/>
  </w:p>
  <w:bookmarkEnd w:id="25"/>
  <w:p w:rsidR="0048667B" w:rsidRPr="00950297" w:rsidRDefault="0048667B">
    <w:pPr>
      <w:pStyle w:val="Sidefod"/>
      <w:rPr>
        <w:lang w:val="en-US"/>
      </w:rPr>
    </w:pPr>
    <w:r w:rsidRPr="00950297">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E83" w:rsidRDefault="00267E83">
      <w:r>
        <w:separator/>
      </w:r>
    </w:p>
  </w:footnote>
  <w:footnote w:type="continuationSeparator" w:id="0">
    <w:p w:rsidR="00267E83" w:rsidRDefault="00267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17B" w:rsidRDefault="000E717B">
    <w:pPr>
      <w:pStyle w:val="Sidehoved"/>
    </w:pPr>
    <w:bookmarkStart w:id="1" w:name="BIT_PrimaryHeader"/>
  </w:p>
  <w:bookmarkEnd w:id="1"/>
  <w:p w:rsidR="005A0290" w:rsidRDefault="005A029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3FE" w:rsidRDefault="00FE03FE" w:rsidP="00CF614F">
    <w:bookmarkStart w:id="2" w:name="CNT_HeaderFirst"/>
    <w:bookmarkStart w:id="3" w:name="FLD_DocumentName"/>
    <w:r>
      <w:rPr>
        <w:noProof/>
      </w:rPr>
      <mc:AlternateContent>
        <mc:Choice Requires="wps">
          <w:drawing>
            <wp:anchor distT="0" distB="0" distL="114300" distR="114300" simplePos="0" relativeHeight="251659264" behindDoc="0" locked="1" layoutInCell="1" allowOverlap="1" wp14:anchorId="3FFDD652" wp14:editId="0813E7C7">
              <wp:simplePos x="0" y="0"/>
              <wp:positionH relativeFrom="page">
                <wp:posOffset>5388610</wp:posOffset>
              </wp:positionH>
              <wp:positionV relativeFrom="margin">
                <wp:posOffset>0</wp:posOffset>
              </wp:positionV>
              <wp:extent cx="2015490" cy="876300"/>
              <wp:effectExtent l="0" t="0" r="3810" b="0"/>
              <wp:wrapNone/>
              <wp:docPr id="1" name="Kolofon"/>
              <wp:cNvGraphicFramePr/>
              <a:graphic xmlns:a="http://schemas.openxmlformats.org/drawingml/2006/main">
                <a:graphicData uri="http://schemas.microsoft.com/office/word/2010/wordprocessingShape">
                  <wps:wsp>
                    <wps:cNvSpPr txBox="1"/>
                    <wps:spPr>
                      <a:xfrm>
                        <a:off x="0" y="0"/>
                        <a:ext cx="201549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410"/>
                          </w:tblGrid>
                          <w:tr w:rsidR="00FE03FE" w:rsidTr="00950297">
                            <w:trPr>
                              <w:cantSplit/>
                              <w:trHeight w:val="2778"/>
                              <w:hidden/>
                            </w:trPr>
                            <w:tc>
                              <w:tcPr>
                                <w:tcW w:w="2410" w:type="dxa"/>
                                <w:tcMar>
                                  <w:top w:w="34" w:type="dxa"/>
                                  <w:left w:w="0" w:type="dxa"/>
                                  <w:bottom w:w="28" w:type="dxa"/>
                                  <w:right w:w="0" w:type="dxa"/>
                                </w:tcMar>
                              </w:tcPr>
                              <w:p w:rsidR="00FE03FE" w:rsidRPr="00950297" w:rsidRDefault="00FE03FE">
                                <w:pPr>
                                  <w:pStyle w:val="Kolofontekst"/>
                                  <w:rPr>
                                    <w:vanish/>
                                  </w:rPr>
                                </w:pPr>
                                <w:bookmarkStart w:id="4" w:name="OFF_Department"/>
                                <w:bookmarkStart w:id="5" w:name="OFF_DepartmentHIF"/>
                                <w:bookmarkEnd w:id="4"/>
                              </w:p>
                              <w:p w:rsidR="00FE03FE" w:rsidRPr="00950297" w:rsidRDefault="00950297">
                                <w:pPr>
                                  <w:pStyle w:val="Kolofontekst"/>
                                </w:pPr>
                                <w:bookmarkStart w:id="6" w:name="LAN_CaseNo"/>
                                <w:bookmarkStart w:id="7" w:name="sagsnrHIF"/>
                                <w:bookmarkEnd w:id="5"/>
                                <w:r w:rsidRPr="00950297">
                                  <w:t>J.nr.</w:t>
                                </w:r>
                                <w:bookmarkEnd w:id="6"/>
                                <w:r w:rsidR="00FE03FE" w:rsidRPr="00950297">
                                  <w:t xml:space="preserve"> </w:t>
                                </w:r>
                                <w:bookmarkStart w:id="8" w:name="sagsnr"/>
                                <w:r w:rsidRPr="00950297">
                                  <w:t>1</w:t>
                                </w:r>
                                <w:r w:rsidR="006F250B">
                                  <w:t>8</w:t>
                                </w:r>
                                <w:r w:rsidRPr="00950297">
                                  <w:t>-30411-0000</w:t>
                                </w:r>
                                <w:bookmarkEnd w:id="8"/>
                                <w:r w:rsidR="006F250B">
                                  <w:t>3</w:t>
                                </w:r>
                              </w:p>
                              <w:p w:rsidR="00FE03FE" w:rsidRPr="00950297" w:rsidRDefault="00950297">
                                <w:pPr>
                                  <w:pStyle w:val="Kolofontekst"/>
                                </w:pPr>
                                <w:bookmarkStart w:id="9" w:name="LAN_Ref"/>
                                <w:bookmarkStart w:id="10" w:name="USR_InitialsHIF"/>
                                <w:bookmarkEnd w:id="7"/>
                                <w:r w:rsidRPr="00950297">
                                  <w:t>Ref.</w:t>
                                </w:r>
                                <w:bookmarkEnd w:id="9"/>
                                <w:r w:rsidR="00FE03FE" w:rsidRPr="00950297">
                                  <w:t xml:space="preserve"> </w:t>
                                </w:r>
                                <w:bookmarkStart w:id="11" w:name="USR_Initials"/>
                                <w:r w:rsidRPr="00950297">
                                  <w:t>MEB</w:t>
                                </w:r>
                                <w:bookmarkEnd w:id="11"/>
                              </w:p>
                              <w:p w:rsidR="00FE03FE" w:rsidRDefault="00950297" w:rsidP="00ED29FC">
                                <w:pPr>
                                  <w:pStyle w:val="Kolofontekst"/>
                                </w:pPr>
                                <w:bookmarkStart w:id="12" w:name="FLD_DocumentDate"/>
                                <w:bookmarkEnd w:id="10"/>
                                <w:r>
                                  <w:rPr>
                                    <w:noProof/>
                                  </w:rPr>
                                  <w:t>Den</w:t>
                                </w:r>
                                <w:bookmarkEnd w:id="12"/>
                                <w:r w:rsidR="006F250B">
                                  <w:rPr>
                                    <w:noProof/>
                                  </w:rPr>
                                  <w:t xml:space="preserve"> </w:t>
                                </w:r>
                                <w:r w:rsidR="00ED29FC">
                                  <w:rPr>
                                    <w:noProof/>
                                  </w:rPr>
                                  <w:t>11</w:t>
                                </w:r>
                                <w:r w:rsidR="006F250B">
                                  <w:rPr>
                                    <w:noProof/>
                                  </w:rPr>
                                  <w:t xml:space="preserve">. </w:t>
                                </w:r>
                                <w:r w:rsidR="00ED29FC">
                                  <w:rPr>
                                    <w:noProof/>
                                  </w:rPr>
                                  <w:t>juni</w:t>
                                </w:r>
                                <w:r w:rsidR="006F250B">
                                  <w:rPr>
                                    <w:noProof/>
                                  </w:rPr>
                                  <w:t xml:space="preserve"> 2018</w:t>
                                </w:r>
                              </w:p>
                            </w:tc>
                          </w:tr>
                        </w:tbl>
                        <w:p w:rsidR="00FE03FE" w:rsidRDefault="00FE03FE" w:rsidP="00CF614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DD652" id="_x0000_t202" coordsize="21600,21600" o:spt="202" path="m,l,21600r21600,l21600,xe">
              <v:stroke joinstyle="miter"/>
              <v:path gradientshapeok="t" o:connecttype="rect"/>
            </v:shapetype>
            <v:shape id="Kolofon" o:spid="_x0000_s1026" type="#_x0000_t202" style="position:absolute;margin-left:424.3pt;margin-top:0;width:158.7pt;height: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410"/>
                    </w:tblGrid>
                    <w:tr w:rsidR="00FE03FE" w:rsidTr="00950297">
                      <w:trPr>
                        <w:cantSplit/>
                        <w:trHeight w:val="2778"/>
                        <w:hidden/>
                      </w:trPr>
                      <w:tc>
                        <w:tcPr>
                          <w:tcW w:w="2410" w:type="dxa"/>
                          <w:tcMar>
                            <w:top w:w="34" w:type="dxa"/>
                            <w:left w:w="0" w:type="dxa"/>
                            <w:bottom w:w="28" w:type="dxa"/>
                            <w:right w:w="0" w:type="dxa"/>
                          </w:tcMar>
                        </w:tcPr>
                        <w:p w:rsidR="00FE03FE" w:rsidRPr="00950297" w:rsidRDefault="00FE03FE">
                          <w:pPr>
                            <w:pStyle w:val="Kolofontekst"/>
                            <w:rPr>
                              <w:vanish/>
                            </w:rPr>
                          </w:pPr>
                          <w:bookmarkStart w:id="13" w:name="OFF_Department"/>
                          <w:bookmarkStart w:id="14" w:name="OFF_DepartmentHIF"/>
                          <w:bookmarkEnd w:id="13"/>
                        </w:p>
                        <w:p w:rsidR="00FE03FE" w:rsidRPr="00950297" w:rsidRDefault="00950297">
                          <w:pPr>
                            <w:pStyle w:val="Kolofontekst"/>
                          </w:pPr>
                          <w:bookmarkStart w:id="15" w:name="LAN_CaseNo"/>
                          <w:bookmarkStart w:id="16" w:name="sagsnrHIF"/>
                          <w:bookmarkEnd w:id="14"/>
                          <w:r w:rsidRPr="00950297">
                            <w:t>J.nr.</w:t>
                          </w:r>
                          <w:bookmarkEnd w:id="15"/>
                          <w:r w:rsidR="00FE03FE" w:rsidRPr="00950297">
                            <w:t xml:space="preserve"> </w:t>
                          </w:r>
                          <w:bookmarkStart w:id="17" w:name="sagsnr"/>
                          <w:r w:rsidRPr="00950297">
                            <w:t>1</w:t>
                          </w:r>
                          <w:r w:rsidR="006F250B">
                            <w:t>8</w:t>
                          </w:r>
                          <w:r w:rsidRPr="00950297">
                            <w:t>-30411-0000</w:t>
                          </w:r>
                          <w:bookmarkEnd w:id="17"/>
                          <w:r w:rsidR="006F250B">
                            <w:t>3</w:t>
                          </w:r>
                        </w:p>
                        <w:p w:rsidR="00FE03FE" w:rsidRPr="00950297" w:rsidRDefault="00950297">
                          <w:pPr>
                            <w:pStyle w:val="Kolofontekst"/>
                          </w:pPr>
                          <w:bookmarkStart w:id="18" w:name="LAN_Ref"/>
                          <w:bookmarkStart w:id="19" w:name="USR_InitialsHIF"/>
                          <w:bookmarkEnd w:id="16"/>
                          <w:r w:rsidRPr="00950297">
                            <w:t>Ref.</w:t>
                          </w:r>
                          <w:bookmarkEnd w:id="18"/>
                          <w:r w:rsidR="00FE03FE" w:rsidRPr="00950297">
                            <w:t xml:space="preserve"> </w:t>
                          </w:r>
                          <w:bookmarkStart w:id="20" w:name="USR_Initials"/>
                          <w:r w:rsidRPr="00950297">
                            <w:t>MEB</w:t>
                          </w:r>
                          <w:bookmarkEnd w:id="20"/>
                        </w:p>
                        <w:p w:rsidR="00FE03FE" w:rsidRDefault="00950297" w:rsidP="00ED29FC">
                          <w:pPr>
                            <w:pStyle w:val="Kolofontekst"/>
                          </w:pPr>
                          <w:bookmarkStart w:id="21" w:name="FLD_DocumentDate"/>
                          <w:bookmarkEnd w:id="19"/>
                          <w:r>
                            <w:rPr>
                              <w:noProof/>
                            </w:rPr>
                            <w:t>Den</w:t>
                          </w:r>
                          <w:bookmarkEnd w:id="21"/>
                          <w:r w:rsidR="006F250B">
                            <w:rPr>
                              <w:noProof/>
                            </w:rPr>
                            <w:t xml:space="preserve"> </w:t>
                          </w:r>
                          <w:r w:rsidR="00ED29FC">
                            <w:rPr>
                              <w:noProof/>
                            </w:rPr>
                            <w:t>11</w:t>
                          </w:r>
                          <w:r w:rsidR="006F250B">
                            <w:rPr>
                              <w:noProof/>
                            </w:rPr>
                            <w:t xml:space="preserve">. </w:t>
                          </w:r>
                          <w:r w:rsidR="00ED29FC">
                            <w:rPr>
                              <w:noProof/>
                            </w:rPr>
                            <w:t>juni</w:t>
                          </w:r>
                          <w:r w:rsidR="006F250B">
                            <w:rPr>
                              <w:noProof/>
                            </w:rPr>
                            <w:t xml:space="preserve"> 2018</w:t>
                          </w:r>
                        </w:p>
                      </w:tc>
                    </w:tr>
                  </w:tbl>
                  <w:p w:rsidR="00FE03FE" w:rsidRDefault="00FE03FE" w:rsidP="00CF614F"/>
                </w:txbxContent>
              </v:textbox>
              <w10:wrap anchorx="page" anchory="margin"/>
              <w10:anchorlock/>
            </v:shape>
          </w:pict>
        </mc:Fallback>
      </mc:AlternateContent>
    </w:r>
  </w:p>
  <w:bookmarkEnd w:id="2"/>
  <w:p w:rsidR="00A51DBA" w:rsidRDefault="00FE03FE" w:rsidP="00CF1627">
    <w:pPr>
      <w:pStyle w:val="DocumentName"/>
    </w:pPr>
    <w:r>
      <w:t>Notat</w:t>
    </w:r>
    <w:bookmarkEnd w:id="3"/>
    <w:r w:rsidR="006F250B">
      <w:rPr>
        <w:noProof/>
      </w:rPr>
      <w:drawing>
        <wp:anchor distT="0" distB="0" distL="114300" distR="114300" simplePos="0" relativeHeight="251661312" behindDoc="0" locked="1" layoutInCell="1" allowOverlap="1" wp14:anchorId="58693790" wp14:editId="578578A9">
          <wp:simplePos x="0" y="0"/>
          <wp:positionH relativeFrom="rightMargin">
            <wp:posOffset>-2044700</wp:posOffset>
          </wp:positionH>
          <wp:positionV relativeFrom="topMargin">
            <wp:posOffset>321945</wp:posOffset>
          </wp:positionV>
          <wp:extent cx="2627630" cy="793115"/>
          <wp:effectExtent l="0" t="0" r="0" b="0"/>
          <wp:wrapNone/>
          <wp:docPr id="2"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630" cy="793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7551CDA"/>
    <w:multiLevelType w:val="hybridMultilevel"/>
    <w:tmpl w:val="0AAA7A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3"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74E3E9C"/>
    <w:multiLevelType w:val="hybridMultilevel"/>
    <w:tmpl w:val="329E58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C546586"/>
    <w:multiLevelType w:val="hybridMultilevel"/>
    <w:tmpl w:val="0B62EBA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D9758DA"/>
    <w:multiLevelType w:val="hybridMultilevel"/>
    <w:tmpl w:val="CA082C00"/>
    <w:lvl w:ilvl="0" w:tplc="CF0EF1E0">
      <w:start w:val="10"/>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0DC4D09"/>
    <w:multiLevelType w:val="hybridMultilevel"/>
    <w:tmpl w:val="49E4136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3373DD6"/>
    <w:multiLevelType w:val="hybridMultilevel"/>
    <w:tmpl w:val="0AAA7A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79D6049"/>
    <w:multiLevelType w:val="hybridMultilevel"/>
    <w:tmpl w:val="1CC05FB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50A7D1B"/>
    <w:multiLevelType w:val="hybridMultilevel"/>
    <w:tmpl w:val="85BC020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821549A"/>
    <w:multiLevelType w:val="hybridMultilevel"/>
    <w:tmpl w:val="E04C6B00"/>
    <w:lvl w:ilvl="0" w:tplc="B31A7DA6">
      <w:start w:val="1"/>
      <w:numFmt w:val="bullet"/>
      <w:lvlText w:val="-"/>
      <w:lvlJc w:val="left"/>
      <w:pPr>
        <w:ind w:left="717" w:hanging="360"/>
      </w:pPr>
      <w:rPr>
        <w:rFonts w:ascii="Georgia" w:eastAsia="Times New Roman" w:hAnsi="Georgia" w:cs="Times New Roman" w:hint="default"/>
      </w:rPr>
    </w:lvl>
    <w:lvl w:ilvl="1" w:tplc="04060003" w:tentative="1">
      <w:start w:val="1"/>
      <w:numFmt w:val="bullet"/>
      <w:lvlText w:val="o"/>
      <w:lvlJc w:val="left"/>
      <w:pPr>
        <w:ind w:left="1437" w:hanging="360"/>
      </w:pPr>
      <w:rPr>
        <w:rFonts w:ascii="Courier New" w:hAnsi="Courier New" w:cs="Courier New" w:hint="default"/>
      </w:rPr>
    </w:lvl>
    <w:lvl w:ilvl="2" w:tplc="04060005" w:tentative="1">
      <w:start w:val="1"/>
      <w:numFmt w:val="bullet"/>
      <w:lvlText w:val=""/>
      <w:lvlJc w:val="left"/>
      <w:pPr>
        <w:ind w:left="2157" w:hanging="360"/>
      </w:pPr>
      <w:rPr>
        <w:rFonts w:ascii="Wingdings" w:hAnsi="Wingdings" w:hint="default"/>
      </w:rPr>
    </w:lvl>
    <w:lvl w:ilvl="3" w:tplc="04060001" w:tentative="1">
      <w:start w:val="1"/>
      <w:numFmt w:val="bullet"/>
      <w:lvlText w:val=""/>
      <w:lvlJc w:val="left"/>
      <w:pPr>
        <w:ind w:left="2877" w:hanging="360"/>
      </w:pPr>
      <w:rPr>
        <w:rFonts w:ascii="Symbol" w:hAnsi="Symbol" w:hint="default"/>
      </w:rPr>
    </w:lvl>
    <w:lvl w:ilvl="4" w:tplc="04060003" w:tentative="1">
      <w:start w:val="1"/>
      <w:numFmt w:val="bullet"/>
      <w:lvlText w:val="o"/>
      <w:lvlJc w:val="left"/>
      <w:pPr>
        <w:ind w:left="3597" w:hanging="360"/>
      </w:pPr>
      <w:rPr>
        <w:rFonts w:ascii="Courier New" w:hAnsi="Courier New" w:cs="Courier New" w:hint="default"/>
      </w:rPr>
    </w:lvl>
    <w:lvl w:ilvl="5" w:tplc="04060005" w:tentative="1">
      <w:start w:val="1"/>
      <w:numFmt w:val="bullet"/>
      <w:lvlText w:val=""/>
      <w:lvlJc w:val="left"/>
      <w:pPr>
        <w:ind w:left="4317" w:hanging="360"/>
      </w:pPr>
      <w:rPr>
        <w:rFonts w:ascii="Wingdings" w:hAnsi="Wingdings" w:hint="default"/>
      </w:rPr>
    </w:lvl>
    <w:lvl w:ilvl="6" w:tplc="04060001" w:tentative="1">
      <w:start w:val="1"/>
      <w:numFmt w:val="bullet"/>
      <w:lvlText w:val=""/>
      <w:lvlJc w:val="left"/>
      <w:pPr>
        <w:ind w:left="5037" w:hanging="360"/>
      </w:pPr>
      <w:rPr>
        <w:rFonts w:ascii="Symbol" w:hAnsi="Symbol" w:hint="default"/>
      </w:rPr>
    </w:lvl>
    <w:lvl w:ilvl="7" w:tplc="04060003" w:tentative="1">
      <w:start w:val="1"/>
      <w:numFmt w:val="bullet"/>
      <w:lvlText w:val="o"/>
      <w:lvlJc w:val="left"/>
      <w:pPr>
        <w:ind w:left="5757" w:hanging="360"/>
      </w:pPr>
      <w:rPr>
        <w:rFonts w:ascii="Courier New" w:hAnsi="Courier New" w:cs="Courier New" w:hint="default"/>
      </w:rPr>
    </w:lvl>
    <w:lvl w:ilvl="8" w:tplc="04060005" w:tentative="1">
      <w:start w:val="1"/>
      <w:numFmt w:val="bullet"/>
      <w:lvlText w:val=""/>
      <w:lvlJc w:val="left"/>
      <w:pPr>
        <w:ind w:left="6477"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9"/>
  </w:num>
  <w:num w:numId="12">
    <w:abstractNumId w:val="20"/>
  </w:num>
  <w:num w:numId="13">
    <w:abstractNumId w:val="13"/>
  </w:num>
  <w:num w:numId="14">
    <w:abstractNumId w:val="8"/>
  </w:num>
  <w:num w:numId="15">
    <w:abstractNumId w:val="15"/>
  </w:num>
  <w:num w:numId="16">
    <w:abstractNumId w:val="17"/>
  </w:num>
  <w:num w:numId="17">
    <w:abstractNumId w:val="19"/>
  </w:num>
  <w:num w:numId="18">
    <w:abstractNumId w:val="21"/>
  </w:num>
  <w:num w:numId="19">
    <w:abstractNumId w:val="14"/>
  </w:num>
  <w:num w:numId="20">
    <w:abstractNumId w:val="18"/>
  </w:num>
  <w:num w:numId="21">
    <w:abstractNumId w:val="2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FE"/>
    <w:rsid w:val="00002EA0"/>
    <w:rsid w:val="00003636"/>
    <w:rsid w:val="00004343"/>
    <w:rsid w:val="00005FAA"/>
    <w:rsid w:val="000069D8"/>
    <w:rsid w:val="00010163"/>
    <w:rsid w:val="0001457C"/>
    <w:rsid w:val="0001528D"/>
    <w:rsid w:val="000166A0"/>
    <w:rsid w:val="00021E8C"/>
    <w:rsid w:val="00030051"/>
    <w:rsid w:val="00037E7E"/>
    <w:rsid w:val="00060BC5"/>
    <w:rsid w:val="000647F2"/>
    <w:rsid w:val="00070BA1"/>
    <w:rsid w:val="00072E8B"/>
    <w:rsid w:val="00073466"/>
    <w:rsid w:val="00074F1A"/>
    <w:rsid w:val="000758FD"/>
    <w:rsid w:val="00082404"/>
    <w:rsid w:val="000825EC"/>
    <w:rsid w:val="00086B6B"/>
    <w:rsid w:val="00096AA1"/>
    <w:rsid w:val="000A1C92"/>
    <w:rsid w:val="000A26F5"/>
    <w:rsid w:val="000A7219"/>
    <w:rsid w:val="000B1B74"/>
    <w:rsid w:val="000B26E7"/>
    <w:rsid w:val="000B2E5E"/>
    <w:rsid w:val="000B5461"/>
    <w:rsid w:val="000B5C70"/>
    <w:rsid w:val="000C0594"/>
    <w:rsid w:val="000C13E6"/>
    <w:rsid w:val="000C3D52"/>
    <w:rsid w:val="000C45B7"/>
    <w:rsid w:val="000C62D3"/>
    <w:rsid w:val="000D0F4C"/>
    <w:rsid w:val="000D1CF4"/>
    <w:rsid w:val="000D28C1"/>
    <w:rsid w:val="000D4381"/>
    <w:rsid w:val="000D5FBF"/>
    <w:rsid w:val="000D600E"/>
    <w:rsid w:val="000E0C04"/>
    <w:rsid w:val="000E3992"/>
    <w:rsid w:val="000E4332"/>
    <w:rsid w:val="000E717B"/>
    <w:rsid w:val="000F0B81"/>
    <w:rsid w:val="001062D0"/>
    <w:rsid w:val="00114DE6"/>
    <w:rsid w:val="001210A9"/>
    <w:rsid w:val="00124AF8"/>
    <w:rsid w:val="001251D2"/>
    <w:rsid w:val="00132571"/>
    <w:rsid w:val="00133780"/>
    <w:rsid w:val="001354CC"/>
    <w:rsid w:val="0014150F"/>
    <w:rsid w:val="00144670"/>
    <w:rsid w:val="0014616C"/>
    <w:rsid w:val="00147799"/>
    <w:rsid w:val="00150686"/>
    <w:rsid w:val="00150899"/>
    <w:rsid w:val="00152CB8"/>
    <w:rsid w:val="00156908"/>
    <w:rsid w:val="00160721"/>
    <w:rsid w:val="00162CDA"/>
    <w:rsid w:val="001743E7"/>
    <w:rsid w:val="00174E32"/>
    <w:rsid w:val="00183D05"/>
    <w:rsid w:val="001A0525"/>
    <w:rsid w:val="001A4CEE"/>
    <w:rsid w:val="001A4D56"/>
    <w:rsid w:val="001A58BF"/>
    <w:rsid w:val="001A6CB5"/>
    <w:rsid w:val="001A7E4B"/>
    <w:rsid w:val="001B3F10"/>
    <w:rsid w:val="001B72A9"/>
    <w:rsid w:val="001C2544"/>
    <w:rsid w:val="001C417D"/>
    <w:rsid w:val="001C4328"/>
    <w:rsid w:val="001C7630"/>
    <w:rsid w:val="001D1196"/>
    <w:rsid w:val="001D19D8"/>
    <w:rsid w:val="001E38EF"/>
    <w:rsid w:val="001E7A98"/>
    <w:rsid w:val="001E7F16"/>
    <w:rsid w:val="001F3A47"/>
    <w:rsid w:val="001F763E"/>
    <w:rsid w:val="00200B86"/>
    <w:rsid w:val="0020134B"/>
    <w:rsid w:val="0020402C"/>
    <w:rsid w:val="002044E3"/>
    <w:rsid w:val="00204BF4"/>
    <w:rsid w:val="00206632"/>
    <w:rsid w:val="00207F46"/>
    <w:rsid w:val="00211AC9"/>
    <w:rsid w:val="00212497"/>
    <w:rsid w:val="00216A90"/>
    <w:rsid w:val="002239C6"/>
    <w:rsid w:val="00225534"/>
    <w:rsid w:val="00226FD2"/>
    <w:rsid w:val="00235C1F"/>
    <w:rsid w:val="002366E2"/>
    <w:rsid w:val="002629A8"/>
    <w:rsid w:val="002639DB"/>
    <w:rsid w:val="00264240"/>
    <w:rsid w:val="002654F9"/>
    <w:rsid w:val="00267E83"/>
    <w:rsid w:val="00267F76"/>
    <w:rsid w:val="0027546B"/>
    <w:rsid w:val="00277291"/>
    <w:rsid w:val="00283D52"/>
    <w:rsid w:val="00284176"/>
    <w:rsid w:val="00293240"/>
    <w:rsid w:val="002933E6"/>
    <w:rsid w:val="0029629D"/>
    <w:rsid w:val="002A29B1"/>
    <w:rsid w:val="002A35FF"/>
    <w:rsid w:val="002A7860"/>
    <w:rsid w:val="002C042D"/>
    <w:rsid w:val="002C4595"/>
    <w:rsid w:val="002C4D00"/>
    <w:rsid w:val="002D00C9"/>
    <w:rsid w:val="002D1875"/>
    <w:rsid w:val="002D268E"/>
    <w:rsid w:val="002D7F0F"/>
    <w:rsid w:val="003001A2"/>
    <w:rsid w:val="00310C3C"/>
    <w:rsid w:val="00311DB5"/>
    <w:rsid w:val="00313642"/>
    <w:rsid w:val="00315AC9"/>
    <w:rsid w:val="00320951"/>
    <w:rsid w:val="003209AA"/>
    <w:rsid w:val="00320A03"/>
    <w:rsid w:val="00322BBE"/>
    <w:rsid w:val="00326ED5"/>
    <w:rsid w:val="00331970"/>
    <w:rsid w:val="00334562"/>
    <w:rsid w:val="00343A37"/>
    <w:rsid w:val="00345FA9"/>
    <w:rsid w:val="003465B4"/>
    <w:rsid w:val="00350582"/>
    <w:rsid w:val="00353FAA"/>
    <w:rsid w:val="003558D9"/>
    <w:rsid w:val="003627FA"/>
    <w:rsid w:val="00362EAC"/>
    <w:rsid w:val="003636BF"/>
    <w:rsid w:val="00365BC4"/>
    <w:rsid w:val="00370AA3"/>
    <w:rsid w:val="003819FF"/>
    <w:rsid w:val="00385C06"/>
    <w:rsid w:val="003864CC"/>
    <w:rsid w:val="00386D0C"/>
    <w:rsid w:val="003966D8"/>
    <w:rsid w:val="00397271"/>
    <w:rsid w:val="003A0376"/>
    <w:rsid w:val="003A3350"/>
    <w:rsid w:val="003A3369"/>
    <w:rsid w:val="003A44A9"/>
    <w:rsid w:val="003B6C74"/>
    <w:rsid w:val="003C67E6"/>
    <w:rsid w:val="003D3CB2"/>
    <w:rsid w:val="003D4C85"/>
    <w:rsid w:val="003D518E"/>
    <w:rsid w:val="003D5928"/>
    <w:rsid w:val="003E06B4"/>
    <w:rsid w:val="003E09D1"/>
    <w:rsid w:val="003E1377"/>
    <w:rsid w:val="003E3617"/>
    <w:rsid w:val="003E7980"/>
    <w:rsid w:val="003F0D75"/>
    <w:rsid w:val="003F319A"/>
    <w:rsid w:val="0040506D"/>
    <w:rsid w:val="00406784"/>
    <w:rsid w:val="00406AF1"/>
    <w:rsid w:val="00407C2F"/>
    <w:rsid w:val="00411BB4"/>
    <w:rsid w:val="0041385B"/>
    <w:rsid w:val="00415BC0"/>
    <w:rsid w:val="004208E6"/>
    <w:rsid w:val="004232F9"/>
    <w:rsid w:val="00433A1E"/>
    <w:rsid w:val="00440668"/>
    <w:rsid w:val="004421D7"/>
    <w:rsid w:val="00447B83"/>
    <w:rsid w:val="00450475"/>
    <w:rsid w:val="004561B3"/>
    <w:rsid w:val="00457882"/>
    <w:rsid w:val="00460B5A"/>
    <w:rsid w:val="0046600E"/>
    <w:rsid w:val="00467E79"/>
    <w:rsid w:val="00476722"/>
    <w:rsid w:val="00481EEB"/>
    <w:rsid w:val="0048414C"/>
    <w:rsid w:val="0048667B"/>
    <w:rsid w:val="00495993"/>
    <w:rsid w:val="004979B6"/>
    <w:rsid w:val="004A3AAA"/>
    <w:rsid w:val="004A4315"/>
    <w:rsid w:val="004B5995"/>
    <w:rsid w:val="004B5AC3"/>
    <w:rsid w:val="004B6A8B"/>
    <w:rsid w:val="004C0742"/>
    <w:rsid w:val="004C237E"/>
    <w:rsid w:val="004C491E"/>
    <w:rsid w:val="004C63FE"/>
    <w:rsid w:val="004D23C9"/>
    <w:rsid w:val="004D6645"/>
    <w:rsid w:val="004E33EF"/>
    <w:rsid w:val="004E562B"/>
    <w:rsid w:val="004E642A"/>
    <w:rsid w:val="004E7C82"/>
    <w:rsid w:val="004F2491"/>
    <w:rsid w:val="004F7C92"/>
    <w:rsid w:val="005009DC"/>
    <w:rsid w:val="00500EFC"/>
    <w:rsid w:val="00501E2E"/>
    <w:rsid w:val="0051781E"/>
    <w:rsid w:val="00520971"/>
    <w:rsid w:val="005267CB"/>
    <w:rsid w:val="005271D6"/>
    <w:rsid w:val="00531869"/>
    <w:rsid w:val="00535B7D"/>
    <w:rsid w:val="0053660A"/>
    <w:rsid w:val="00541D1B"/>
    <w:rsid w:val="00550D85"/>
    <w:rsid w:val="005514FF"/>
    <w:rsid w:val="00554FAA"/>
    <w:rsid w:val="00557A69"/>
    <w:rsid w:val="005630B4"/>
    <w:rsid w:val="00563773"/>
    <w:rsid w:val="005650F2"/>
    <w:rsid w:val="005672CB"/>
    <w:rsid w:val="00567BA1"/>
    <w:rsid w:val="00576B90"/>
    <w:rsid w:val="0058155D"/>
    <w:rsid w:val="00590A5B"/>
    <w:rsid w:val="00590C13"/>
    <w:rsid w:val="0059175F"/>
    <w:rsid w:val="0059560E"/>
    <w:rsid w:val="00596C25"/>
    <w:rsid w:val="005A01E1"/>
    <w:rsid w:val="005A0290"/>
    <w:rsid w:val="005A1F29"/>
    <w:rsid w:val="005A29CB"/>
    <w:rsid w:val="005A50B9"/>
    <w:rsid w:val="005A6CF6"/>
    <w:rsid w:val="005C51A1"/>
    <w:rsid w:val="005D2B26"/>
    <w:rsid w:val="005D3CF2"/>
    <w:rsid w:val="005D543F"/>
    <w:rsid w:val="005D7152"/>
    <w:rsid w:val="005E08EA"/>
    <w:rsid w:val="005E352B"/>
    <w:rsid w:val="005E4484"/>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34051"/>
    <w:rsid w:val="00636AC2"/>
    <w:rsid w:val="00641AE1"/>
    <w:rsid w:val="0064543A"/>
    <w:rsid w:val="00655780"/>
    <w:rsid w:val="00656763"/>
    <w:rsid w:val="00656C96"/>
    <w:rsid w:val="006655CC"/>
    <w:rsid w:val="006665A1"/>
    <w:rsid w:val="006706E8"/>
    <w:rsid w:val="0067771A"/>
    <w:rsid w:val="00684B85"/>
    <w:rsid w:val="0068783F"/>
    <w:rsid w:val="00696E85"/>
    <w:rsid w:val="006A18C5"/>
    <w:rsid w:val="006B23A4"/>
    <w:rsid w:val="006B50DB"/>
    <w:rsid w:val="006C0BDE"/>
    <w:rsid w:val="006D09A7"/>
    <w:rsid w:val="006E7F1D"/>
    <w:rsid w:val="006F250B"/>
    <w:rsid w:val="006F3EB3"/>
    <w:rsid w:val="006F4577"/>
    <w:rsid w:val="006F4DCD"/>
    <w:rsid w:val="00702FF2"/>
    <w:rsid w:val="00703B66"/>
    <w:rsid w:val="00705800"/>
    <w:rsid w:val="00705EAB"/>
    <w:rsid w:val="00723455"/>
    <w:rsid w:val="00724762"/>
    <w:rsid w:val="00724D6D"/>
    <w:rsid w:val="0073474C"/>
    <w:rsid w:val="0073754C"/>
    <w:rsid w:val="0074716F"/>
    <w:rsid w:val="0074737F"/>
    <w:rsid w:val="0074794E"/>
    <w:rsid w:val="00751650"/>
    <w:rsid w:val="00753673"/>
    <w:rsid w:val="007540BD"/>
    <w:rsid w:val="00762205"/>
    <w:rsid w:val="0076323D"/>
    <w:rsid w:val="00764201"/>
    <w:rsid w:val="00775306"/>
    <w:rsid w:val="007830BE"/>
    <w:rsid w:val="00787EAA"/>
    <w:rsid w:val="0079070D"/>
    <w:rsid w:val="007940C9"/>
    <w:rsid w:val="00796312"/>
    <w:rsid w:val="007A00E9"/>
    <w:rsid w:val="007A04FE"/>
    <w:rsid w:val="007B1B23"/>
    <w:rsid w:val="007B21FA"/>
    <w:rsid w:val="007B2ADE"/>
    <w:rsid w:val="007B2F76"/>
    <w:rsid w:val="007B3940"/>
    <w:rsid w:val="007B5F9C"/>
    <w:rsid w:val="007D31F4"/>
    <w:rsid w:val="007D3890"/>
    <w:rsid w:val="007D492E"/>
    <w:rsid w:val="007E0C49"/>
    <w:rsid w:val="007E3A3B"/>
    <w:rsid w:val="007E51F2"/>
    <w:rsid w:val="007E5E97"/>
    <w:rsid w:val="007E6713"/>
    <w:rsid w:val="007E7688"/>
    <w:rsid w:val="007F340F"/>
    <w:rsid w:val="007F4A4B"/>
    <w:rsid w:val="007F73B3"/>
    <w:rsid w:val="007F770C"/>
    <w:rsid w:val="008018F5"/>
    <w:rsid w:val="00802CB9"/>
    <w:rsid w:val="00807BA4"/>
    <w:rsid w:val="0081105F"/>
    <w:rsid w:val="00821133"/>
    <w:rsid w:val="008236B5"/>
    <w:rsid w:val="008324B0"/>
    <w:rsid w:val="008407EC"/>
    <w:rsid w:val="0084333E"/>
    <w:rsid w:val="0084379B"/>
    <w:rsid w:val="00844CA9"/>
    <w:rsid w:val="00847491"/>
    <w:rsid w:val="00850194"/>
    <w:rsid w:val="008559E9"/>
    <w:rsid w:val="008602B1"/>
    <w:rsid w:val="00860D2C"/>
    <w:rsid w:val="00861CBA"/>
    <w:rsid w:val="00863B4C"/>
    <w:rsid w:val="00865B93"/>
    <w:rsid w:val="00872AC0"/>
    <w:rsid w:val="00875531"/>
    <w:rsid w:val="00882741"/>
    <w:rsid w:val="00892B13"/>
    <w:rsid w:val="008A1C6B"/>
    <w:rsid w:val="008A4864"/>
    <w:rsid w:val="008A6D27"/>
    <w:rsid w:val="008B1B83"/>
    <w:rsid w:val="008B3ADA"/>
    <w:rsid w:val="008C0C0C"/>
    <w:rsid w:val="008C5F4A"/>
    <w:rsid w:val="008E3990"/>
    <w:rsid w:val="008F272E"/>
    <w:rsid w:val="008F6B2B"/>
    <w:rsid w:val="00905C37"/>
    <w:rsid w:val="00906916"/>
    <w:rsid w:val="0092514B"/>
    <w:rsid w:val="009264AA"/>
    <w:rsid w:val="009354A9"/>
    <w:rsid w:val="00944EE8"/>
    <w:rsid w:val="009461F0"/>
    <w:rsid w:val="00950297"/>
    <w:rsid w:val="009601F5"/>
    <w:rsid w:val="009614F3"/>
    <w:rsid w:val="00963DC8"/>
    <w:rsid w:val="00963E43"/>
    <w:rsid w:val="00970F21"/>
    <w:rsid w:val="00975F3B"/>
    <w:rsid w:val="0098382A"/>
    <w:rsid w:val="009943CD"/>
    <w:rsid w:val="00994E91"/>
    <w:rsid w:val="009C37F8"/>
    <w:rsid w:val="009C4275"/>
    <w:rsid w:val="009C6BB2"/>
    <w:rsid w:val="009E27B6"/>
    <w:rsid w:val="009E7920"/>
    <w:rsid w:val="009F368F"/>
    <w:rsid w:val="009F4367"/>
    <w:rsid w:val="009F7033"/>
    <w:rsid w:val="00A03CE6"/>
    <w:rsid w:val="00A03E48"/>
    <w:rsid w:val="00A11F5A"/>
    <w:rsid w:val="00A158CB"/>
    <w:rsid w:val="00A34B40"/>
    <w:rsid w:val="00A3588F"/>
    <w:rsid w:val="00A36292"/>
    <w:rsid w:val="00A36D64"/>
    <w:rsid w:val="00A44A6B"/>
    <w:rsid w:val="00A51DBA"/>
    <w:rsid w:val="00A5408B"/>
    <w:rsid w:val="00A556CE"/>
    <w:rsid w:val="00A67D37"/>
    <w:rsid w:val="00A72DDE"/>
    <w:rsid w:val="00A83AFB"/>
    <w:rsid w:val="00A85ECD"/>
    <w:rsid w:val="00A923E2"/>
    <w:rsid w:val="00A964CE"/>
    <w:rsid w:val="00A96C60"/>
    <w:rsid w:val="00AA4437"/>
    <w:rsid w:val="00AB363A"/>
    <w:rsid w:val="00AC35D6"/>
    <w:rsid w:val="00AD26AD"/>
    <w:rsid w:val="00AD678B"/>
    <w:rsid w:val="00AE3584"/>
    <w:rsid w:val="00AE41A1"/>
    <w:rsid w:val="00AE5A17"/>
    <w:rsid w:val="00AF1E80"/>
    <w:rsid w:val="00AF5AF6"/>
    <w:rsid w:val="00B13BB6"/>
    <w:rsid w:val="00B14441"/>
    <w:rsid w:val="00B2565D"/>
    <w:rsid w:val="00B2710D"/>
    <w:rsid w:val="00B30727"/>
    <w:rsid w:val="00B358B3"/>
    <w:rsid w:val="00B441D7"/>
    <w:rsid w:val="00B54207"/>
    <w:rsid w:val="00B65B52"/>
    <w:rsid w:val="00B67E21"/>
    <w:rsid w:val="00B734BB"/>
    <w:rsid w:val="00B77950"/>
    <w:rsid w:val="00B80700"/>
    <w:rsid w:val="00B86326"/>
    <w:rsid w:val="00B86940"/>
    <w:rsid w:val="00B86BC1"/>
    <w:rsid w:val="00B87347"/>
    <w:rsid w:val="00B90A33"/>
    <w:rsid w:val="00B91712"/>
    <w:rsid w:val="00B91D48"/>
    <w:rsid w:val="00B932C3"/>
    <w:rsid w:val="00B94D20"/>
    <w:rsid w:val="00B9526E"/>
    <w:rsid w:val="00BA4AB4"/>
    <w:rsid w:val="00BA7059"/>
    <w:rsid w:val="00BA7C98"/>
    <w:rsid w:val="00BB40C8"/>
    <w:rsid w:val="00BB6985"/>
    <w:rsid w:val="00BC1C77"/>
    <w:rsid w:val="00BC6602"/>
    <w:rsid w:val="00BD3A32"/>
    <w:rsid w:val="00BD787B"/>
    <w:rsid w:val="00BE0CE4"/>
    <w:rsid w:val="00BE7D68"/>
    <w:rsid w:val="00BF101A"/>
    <w:rsid w:val="00C03ED1"/>
    <w:rsid w:val="00C1503E"/>
    <w:rsid w:val="00C16955"/>
    <w:rsid w:val="00C21584"/>
    <w:rsid w:val="00C2184A"/>
    <w:rsid w:val="00C22C94"/>
    <w:rsid w:val="00C26117"/>
    <w:rsid w:val="00C336C4"/>
    <w:rsid w:val="00C3559B"/>
    <w:rsid w:val="00C41BBD"/>
    <w:rsid w:val="00C44620"/>
    <w:rsid w:val="00C5322A"/>
    <w:rsid w:val="00C53CED"/>
    <w:rsid w:val="00C57362"/>
    <w:rsid w:val="00C57CA7"/>
    <w:rsid w:val="00C617FE"/>
    <w:rsid w:val="00C64F3D"/>
    <w:rsid w:val="00C7051E"/>
    <w:rsid w:val="00C70BEA"/>
    <w:rsid w:val="00C71B04"/>
    <w:rsid w:val="00C766CC"/>
    <w:rsid w:val="00C76B7D"/>
    <w:rsid w:val="00C8406C"/>
    <w:rsid w:val="00C87AAA"/>
    <w:rsid w:val="00CA543F"/>
    <w:rsid w:val="00CA6429"/>
    <w:rsid w:val="00CA6ADF"/>
    <w:rsid w:val="00CB5C14"/>
    <w:rsid w:val="00CC12A8"/>
    <w:rsid w:val="00CC51EB"/>
    <w:rsid w:val="00CC6892"/>
    <w:rsid w:val="00CC77A5"/>
    <w:rsid w:val="00CD31FE"/>
    <w:rsid w:val="00CD4F1D"/>
    <w:rsid w:val="00CE1EC6"/>
    <w:rsid w:val="00CE5201"/>
    <w:rsid w:val="00CF1627"/>
    <w:rsid w:val="00CF2263"/>
    <w:rsid w:val="00CF614F"/>
    <w:rsid w:val="00CF760D"/>
    <w:rsid w:val="00D008ED"/>
    <w:rsid w:val="00D01984"/>
    <w:rsid w:val="00D01EDA"/>
    <w:rsid w:val="00D10E21"/>
    <w:rsid w:val="00D16472"/>
    <w:rsid w:val="00D321C9"/>
    <w:rsid w:val="00D37FC2"/>
    <w:rsid w:val="00D43DB0"/>
    <w:rsid w:val="00D570C5"/>
    <w:rsid w:val="00D621E4"/>
    <w:rsid w:val="00D6793D"/>
    <w:rsid w:val="00D80B09"/>
    <w:rsid w:val="00D922CF"/>
    <w:rsid w:val="00D951B4"/>
    <w:rsid w:val="00D966C5"/>
    <w:rsid w:val="00D9782B"/>
    <w:rsid w:val="00DA0B79"/>
    <w:rsid w:val="00DA32B3"/>
    <w:rsid w:val="00DA6734"/>
    <w:rsid w:val="00DB56B3"/>
    <w:rsid w:val="00DB7444"/>
    <w:rsid w:val="00DC7A95"/>
    <w:rsid w:val="00DE24BE"/>
    <w:rsid w:val="00DE5B21"/>
    <w:rsid w:val="00DE7479"/>
    <w:rsid w:val="00DF128B"/>
    <w:rsid w:val="00DF2F94"/>
    <w:rsid w:val="00E11688"/>
    <w:rsid w:val="00E26EAA"/>
    <w:rsid w:val="00E27CC3"/>
    <w:rsid w:val="00E30FCA"/>
    <w:rsid w:val="00E32461"/>
    <w:rsid w:val="00E36F97"/>
    <w:rsid w:val="00E42057"/>
    <w:rsid w:val="00E44C4F"/>
    <w:rsid w:val="00E62BEE"/>
    <w:rsid w:val="00E63075"/>
    <w:rsid w:val="00E644BF"/>
    <w:rsid w:val="00E73A40"/>
    <w:rsid w:val="00E806E3"/>
    <w:rsid w:val="00E81697"/>
    <w:rsid w:val="00E83744"/>
    <w:rsid w:val="00E928D4"/>
    <w:rsid w:val="00E94852"/>
    <w:rsid w:val="00EA4D25"/>
    <w:rsid w:val="00EA576F"/>
    <w:rsid w:val="00EB0255"/>
    <w:rsid w:val="00EB3838"/>
    <w:rsid w:val="00EB4C77"/>
    <w:rsid w:val="00EB68CC"/>
    <w:rsid w:val="00EC2095"/>
    <w:rsid w:val="00EC5E51"/>
    <w:rsid w:val="00EC76B0"/>
    <w:rsid w:val="00ED29FC"/>
    <w:rsid w:val="00ED48AE"/>
    <w:rsid w:val="00EE65A7"/>
    <w:rsid w:val="00EF48EC"/>
    <w:rsid w:val="00EF6016"/>
    <w:rsid w:val="00F011A2"/>
    <w:rsid w:val="00F03C9A"/>
    <w:rsid w:val="00F05E03"/>
    <w:rsid w:val="00F2061A"/>
    <w:rsid w:val="00F30057"/>
    <w:rsid w:val="00F31EFD"/>
    <w:rsid w:val="00F34750"/>
    <w:rsid w:val="00F44CF6"/>
    <w:rsid w:val="00F46114"/>
    <w:rsid w:val="00F47B3A"/>
    <w:rsid w:val="00F602C8"/>
    <w:rsid w:val="00F62595"/>
    <w:rsid w:val="00F7168A"/>
    <w:rsid w:val="00F71C13"/>
    <w:rsid w:val="00F77228"/>
    <w:rsid w:val="00F83DEE"/>
    <w:rsid w:val="00F90567"/>
    <w:rsid w:val="00F908EE"/>
    <w:rsid w:val="00F91352"/>
    <w:rsid w:val="00F922ED"/>
    <w:rsid w:val="00FB7ADE"/>
    <w:rsid w:val="00FC164F"/>
    <w:rsid w:val="00FD2036"/>
    <w:rsid w:val="00FE03FE"/>
    <w:rsid w:val="00FE45B3"/>
    <w:rsid w:val="00FE7E77"/>
    <w:rsid w:val="00FF192E"/>
    <w:rsid w:val="00FF45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138D631-F3D4-4F74-8885-63C040FE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133780"/>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133780"/>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3378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13378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A7B5"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A7B5"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A7B5"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A7B5"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A7B5"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A7B5"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A7B5" w:themeColor="accent1" w:shadow="1"/>
        <w:left w:val="single" w:sz="2" w:space="10" w:color="00A7B5" w:themeColor="accent1" w:shadow="1"/>
        <w:bottom w:val="single" w:sz="2" w:space="10" w:color="00A7B5" w:themeColor="accent1" w:shadow="1"/>
        <w:right w:val="single" w:sz="2" w:space="10" w:color="00A7B5" w:themeColor="accent1" w:shadow="1"/>
      </w:pBdr>
      <w:ind w:left="1152" w:right="1152"/>
    </w:pPr>
    <w:rPr>
      <w:rFonts w:asciiTheme="minorHAnsi" w:eastAsiaTheme="minorEastAsia" w:hAnsiTheme="minorHAnsi" w:cstheme="minorBidi"/>
      <w:i/>
      <w:iCs/>
      <w:color w:val="00A7B5"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6F4577"/>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DF9FF" w:themeFill="accent1" w:themeFillTint="33"/>
    </w:tcPr>
    <w:tblStylePr w:type="firstRow">
      <w:rPr>
        <w:b/>
        <w:bCs/>
      </w:rPr>
      <w:tblPr/>
      <w:tcPr>
        <w:shd w:val="clear" w:color="auto" w:fill="7BF4FF" w:themeFill="accent1" w:themeFillTint="66"/>
      </w:tcPr>
    </w:tblStylePr>
    <w:tblStylePr w:type="lastRow">
      <w:rPr>
        <w:b/>
        <w:bCs/>
        <w:color w:val="000000" w:themeColor="text1"/>
      </w:rPr>
      <w:tblPr/>
      <w:tcPr>
        <w:shd w:val="clear" w:color="auto" w:fill="7BF4FF" w:themeFill="accent1" w:themeFillTint="66"/>
      </w:tcPr>
    </w:tblStylePr>
    <w:tblStylePr w:type="firstCol">
      <w:rPr>
        <w:color w:val="FFFFFF" w:themeColor="background1"/>
      </w:rPr>
      <w:tblPr/>
      <w:tcPr>
        <w:shd w:val="clear" w:color="auto" w:fill="007C87" w:themeFill="accent1" w:themeFillShade="BF"/>
      </w:tcPr>
    </w:tblStylePr>
    <w:tblStylePr w:type="lastCol">
      <w:rPr>
        <w:color w:val="FFFFFF" w:themeColor="background1"/>
      </w:rPr>
      <w:tblPr/>
      <w:tcPr>
        <w:shd w:val="clear" w:color="auto" w:fill="007C87" w:themeFill="accent1" w:themeFillShade="BF"/>
      </w:tc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F3EC" w:themeFill="accent3" w:themeFillTint="33"/>
    </w:tcPr>
    <w:tblStylePr w:type="firstRow">
      <w:rPr>
        <w:b/>
        <w:bCs/>
      </w:rPr>
      <w:tblPr/>
      <w:tcPr>
        <w:shd w:val="clear" w:color="auto" w:fill="A9E7D9" w:themeFill="accent3" w:themeFillTint="66"/>
      </w:tcPr>
    </w:tblStylePr>
    <w:tblStylePr w:type="lastRow">
      <w:rPr>
        <w:b/>
        <w:bCs/>
        <w:color w:val="000000" w:themeColor="text1"/>
      </w:rPr>
      <w:tblPr/>
      <w:tcPr>
        <w:shd w:val="clear" w:color="auto" w:fill="A9E7D9" w:themeFill="accent3" w:themeFillTint="66"/>
      </w:tcPr>
    </w:tblStylePr>
    <w:tblStylePr w:type="firstCol">
      <w:rPr>
        <w:color w:val="FFFFFF" w:themeColor="background1"/>
      </w:rPr>
      <w:tblPr/>
      <w:tcPr>
        <w:shd w:val="clear" w:color="auto" w:fill="268A73" w:themeFill="accent3" w:themeFillShade="BF"/>
      </w:tcPr>
    </w:tblStylePr>
    <w:tblStylePr w:type="lastCol">
      <w:rPr>
        <w:color w:val="FFFFFF" w:themeColor="background1"/>
      </w:rPr>
      <w:tblPr/>
      <w:tcPr>
        <w:shd w:val="clear" w:color="auto" w:fill="268A73" w:themeFill="accent3" w:themeFillShade="BF"/>
      </w:tc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5" w:themeFillTint="33"/>
    </w:tcPr>
    <w:tblStylePr w:type="firstRow">
      <w:rPr>
        <w:b/>
        <w:bCs/>
      </w:rPr>
      <w:tblPr/>
      <w:tcPr>
        <w:shd w:val="clear" w:color="auto" w:fill="F8F0C4" w:themeFill="accent5" w:themeFillTint="66"/>
      </w:tcPr>
    </w:tblStylePr>
    <w:tblStylePr w:type="lastRow">
      <w:rPr>
        <w:b/>
        <w:bCs/>
        <w:color w:val="000000" w:themeColor="text1"/>
      </w:rPr>
      <w:tblPr/>
      <w:tcPr>
        <w:shd w:val="clear" w:color="auto" w:fill="F8F0C4" w:themeFill="accent5" w:themeFillTint="66"/>
      </w:tcPr>
    </w:tblStylePr>
    <w:tblStylePr w:type="firstCol">
      <w:rPr>
        <w:color w:val="FFFFFF" w:themeColor="background1"/>
      </w:rPr>
      <w:tblPr/>
      <w:tcPr>
        <w:shd w:val="clear" w:color="auto" w:fill="E6C71D" w:themeFill="accent5" w:themeFillShade="BF"/>
      </w:tcPr>
    </w:tblStylePr>
    <w:tblStylePr w:type="lastCol">
      <w:rPr>
        <w:color w:val="FFFFFF" w:themeColor="background1"/>
      </w:rPr>
      <w:tblPr/>
      <w:tcPr>
        <w:shd w:val="clear" w:color="auto" w:fill="E6C71D" w:themeFill="accent5" w:themeFillShade="BF"/>
      </w:tc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6" w:themeFillTint="33"/>
    </w:tcPr>
    <w:tblStylePr w:type="firstRow">
      <w:rPr>
        <w:b/>
        <w:bCs/>
      </w:rPr>
      <w:tblPr/>
      <w:tcPr>
        <w:shd w:val="clear" w:color="auto" w:fill="BB9AD5" w:themeFill="accent6" w:themeFillTint="66"/>
      </w:tcPr>
    </w:tblStylePr>
    <w:tblStylePr w:type="lastRow">
      <w:rPr>
        <w:b/>
        <w:bCs/>
        <w:color w:val="000000" w:themeColor="text1"/>
      </w:rPr>
      <w:tblPr/>
      <w:tcPr>
        <w:shd w:val="clear" w:color="auto" w:fill="BB9AD5" w:themeFill="accent6" w:themeFillTint="66"/>
      </w:tcPr>
    </w:tblStylePr>
    <w:tblStylePr w:type="firstCol">
      <w:rPr>
        <w:color w:val="FFFFFF" w:themeColor="background1"/>
      </w:rPr>
      <w:tblPr/>
      <w:tcPr>
        <w:shd w:val="clear" w:color="auto" w:fill="3C2151" w:themeFill="accent6" w:themeFillShade="BF"/>
      </w:tcPr>
    </w:tblStylePr>
    <w:tblStylePr w:type="lastCol">
      <w:rPr>
        <w:color w:val="FFFFFF" w:themeColor="background1"/>
      </w:rPr>
      <w:tblPr/>
      <w:tcPr>
        <w:shd w:val="clear" w:color="auto" w:fill="3C2151" w:themeFill="accent6" w:themeFillShade="BF"/>
      </w:tc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EFCFF"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1" w:themeFillTint="3F"/>
      </w:tcPr>
    </w:tblStylePr>
    <w:tblStylePr w:type="band1Horz">
      <w:tblPr/>
      <w:tcPr>
        <w:shd w:val="clear" w:color="auto" w:fill="BDF9FF"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9F9F5"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0E7" w:themeFill="accent3" w:themeFillTint="3F"/>
      </w:tcPr>
    </w:tblStylePr>
    <w:tblStylePr w:type="band1Horz">
      <w:tblPr/>
      <w:tcPr>
        <w:shd w:val="clear" w:color="auto" w:fill="D3F3EC"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7B" w:themeFill="accent3" w:themeFillShade="CC"/>
      </w:tcPr>
    </w:tblStylePr>
    <w:tblStylePr w:type="lastRow">
      <w:rPr>
        <w:b/>
        <w:bCs/>
        <w:color w:val="2893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5" w:themeFillTint="19"/>
    </w:tcPr>
    <w:tblStylePr w:type="firstRow">
      <w:rPr>
        <w:b/>
        <w:bCs/>
        <w:color w:val="FFFFFF" w:themeColor="background1"/>
      </w:rPr>
      <w:tblPr/>
      <w:tcPr>
        <w:tcBorders>
          <w:bottom w:val="single" w:sz="12" w:space="0" w:color="FFFFFF" w:themeColor="background1"/>
        </w:tcBorders>
        <w:shd w:val="clear" w:color="auto" w:fill="402457" w:themeFill="accent6" w:themeFillShade="CC"/>
      </w:tcPr>
    </w:tblStylePr>
    <w:tblStylePr w:type="lastRow">
      <w:rPr>
        <w:b/>
        <w:bCs/>
        <w:color w:val="4024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5" w:themeFillTint="3F"/>
      </w:tcPr>
    </w:tblStylePr>
    <w:tblStylePr w:type="band1Horz">
      <w:tblPr/>
      <w:tcPr>
        <w:shd w:val="clear" w:color="auto" w:fill="FBF7E1"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6" w:themeFillTint="19"/>
    </w:tcPr>
    <w:tblStylePr w:type="firstRow">
      <w:rPr>
        <w:b/>
        <w:bCs/>
        <w:color w:val="FFFFFF" w:themeColor="background1"/>
      </w:rPr>
      <w:tblPr/>
      <w:tcPr>
        <w:tcBorders>
          <w:bottom w:val="single" w:sz="12" w:space="0" w:color="FFFFFF" w:themeColor="background1"/>
        </w:tcBorders>
        <w:shd w:val="clear" w:color="auto" w:fill="E8CB2D" w:themeFill="accent5" w:themeFillShade="CC"/>
      </w:tcPr>
    </w:tblStylePr>
    <w:tblStylePr w:type="lastRow">
      <w:rPr>
        <w:b/>
        <w:bCs/>
        <w:color w:val="E8CB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6" w:themeFillTint="3F"/>
      </w:tcPr>
    </w:tblStylePr>
    <w:tblStylePr w:type="band1Horz">
      <w:tblPr/>
      <w:tcPr>
        <w:shd w:val="clear" w:color="auto" w:fill="DDCCEA"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A7B5" w:themeColor="accent1"/>
        <w:bottom w:val="single" w:sz="4" w:space="0" w:color="00A7B5" w:themeColor="accent1"/>
        <w:right w:val="single" w:sz="4" w:space="0" w:color="00A7B5" w:themeColor="accent1"/>
        <w:insideH w:val="single" w:sz="4" w:space="0" w:color="FFFFFF" w:themeColor="background1"/>
        <w:insideV w:val="single" w:sz="4" w:space="0" w:color="FFFFFF" w:themeColor="background1"/>
      </w:tblBorders>
    </w:tblPr>
    <w:tcPr>
      <w:shd w:val="clear" w:color="auto" w:fill="DEFCFF"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1" w:themeFillShade="99"/>
      </w:tcPr>
    </w:tblStylePr>
    <w:tblStylePr w:type="firstCol">
      <w:rPr>
        <w:color w:val="FFFFFF" w:themeColor="background1"/>
      </w:rPr>
      <w:tblPr/>
      <w:tcPr>
        <w:tcBorders>
          <w:top w:val="nil"/>
          <w:left w:val="nil"/>
          <w:bottom w:val="nil"/>
          <w:right w:val="nil"/>
          <w:insideH w:val="single" w:sz="4" w:space="0" w:color="00636C" w:themeColor="accent1" w:themeShade="99"/>
          <w:insideV w:val="nil"/>
        </w:tcBorders>
        <w:shd w:val="clear" w:color="auto" w:fill="00636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1" w:themeFillShade="99"/>
      </w:tcPr>
    </w:tblStylePr>
    <w:tblStylePr w:type="band1Vert">
      <w:tblPr/>
      <w:tcPr>
        <w:shd w:val="clear" w:color="auto" w:fill="7BF4FF" w:themeFill="accent1" w:themeFillTint="66"/>
      </w:tcPr>
    </w:tblStylePr>
    <w:tblStylePr w:type="band1Horz">
      <w:tblPr/>
      <w:tcPr>
        <w:shd w:val="clear" w:color="auto" w:fill="5BF2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9B" w:themeColor="accent3"/>
        <w:bottom w:val="single" w:sz="4" w:space="0" w:color="33B99B" w:themeColor="accent3"/>
        <w:right w:val="single" w:sz="4" w:space="0" w:color="33B99B" w:themeColor="accent3"/>
        <w:insideH w:val="single" w:sz="4" w:space="0" w:color="FFFFFF" w:themeColor="background1"/>
        <w:insideV w:val="single" w:sz="4" w:space="0" w:color="FFFFFF" w:themeColor="background1"/>
      </w:tblBorders>
    </w:tblPr>
    <w:tcPr>
      <w:shd w:val="clear" w:color="auto" w:fill="E9F9F5"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5C" w:themeFill="accent3" w:themeFillShade="99"/>
      </w:tcPr>
    </w:tblStylePr>
    <w:tblStylePr w:type="firstCol">
      <w:rPr>
        <w:color w:val="FFFFFF" w:themeColor="background1"/>
      </w:rPr>
      <w:tblPr/>
      <w:tcPr>
        <w:tcBorders>
          <w:top w:val="nil"/>
          <w:left w:val="nil"/>
          <w:bottom w:val="nil"/>
          <w:right w:val="nil"/>
          <w:insideH w:val="single" w:sz="4" w:space="0" w:color="1E6E5C" w:themeColor="accent3" w:themeShade="99"/>
          <w:insideV w:val="nil"/>
        </w:tcBorders>
        <w:shd w:val="clear" w:color="auto" w:fill="1E6E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5C" w:themeFill="accent3" w:themeFillShade="99"/>
      </w:tcPr>
    </w:tblStylePr>
    <w:tblStylePr w:type="band1Vert">
      <w:tblPr/>
      <w:tcPr>
        <w:shd w:val="clear" w:color="auto" w:fill="A9E7D9" w:themeFill="accent3" w:themeFillTint="66"/>
      </w:tcPr>
    </w:tblStylePr>
    <w:tblStylePr w:type="band1Horz">
      <w:tblPr/>
      <w:tcPr>
        <w:shd w:val="clear" w:color="auto" w:fill="93E1C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9B"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6"/>
        <w:left w:val="single" w:sz="4" w:space="0" w:color="EFDB6C" w:themeColor="accent5"/>
        <w:bottom w:val="single" w:sz="4" w:space="0" w:color="EFDB6C" w:themeColor="accent5"/>
        <w:right w:val="single" w:sz="4" w:space="0" w:color="EFDB6C" w:themeColor="accent5"/>
        <w:insideH w:val="single" w:sz="4" w:space="0" w:color="FFFFFF" w:themeColor="background1"/>
        <w:insideV w:val="single" w:sz="4" w:space="0" w:color="FFFFFF" w:themeColor="background1"/>
      </w:tblBorders>
    </w:tblPr>
    <w:tcPr>
      <w:shd w:val="clear" w:color="auto" w:fill="FDFBF0" w:themeFill="accent5" w:themeFillTint="19"/>
    </w:tcPr>
    <w:tblStylePr w:type="firstRow">
      <w:rPr>
        <w:b/>
        <w:bCs/>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5" w:themeFillShade="99"/>
      </w:tcPr>
    </w:tblStylePr>
    <w:tblStylePr w:type="firstCol">
      <w:rPr>
        <w:color w:val="FFFFFF" w:themeColor="background1"/>
      </w:rPr>
      <w:tblPr/>
      <w:tcPr>
        <w:tcBorders>
          <w:top w:val="nil"/>
          <w:left w:val="nil"/>
          <w:bottom w:val="nil"/>
          <w:right w:val="nil"/>
          <w:insideH w:val="single" w:sz="4" w:space="0" w:color="BBA114" w:themeColor="accent5" w:themeShade="99"/>
          <w:insideV w:val="nil"/>
        </w:tcBorders>
        <w:shd w:val="clear" w:color="auto" w:fill="BBA11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5" w:themeFillShade="99"/>
      </w:tcPr>
    </w:tblStylePr>
    <w:tblStylePr w:type="band1Vert">
      <w:tblPr/>
      <w:tcPr>
        <w:shd w:val="clear" w:color="auto" w:fill="F8F0C4" w:themeFill="accent5" w:themeFillTint="66"/>
      </w:tcPr>
    </w:tblStylePr>
    <w:tblStylePr w:type="band1Horz">
      <w:tblPr/>
      <w:tcPr>
        <w:shd w:val="clear" w:color="auto" w:fill="F7EDB5"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5"/>
        <w:left w:val="single" w:sz="4" w:space="0" w:color="512D6D" w:themeColor="accent6"/>
        <w:bottom w:val="single" w:sz="4" w:space="0" w:color="512D6D" w:themeColor="accent6"/>
        <w:right w:val="single" w:sz="4" w:space="0" w:color="512D6D" w:themeColor="accent6"/>
        <w:insideH w:val="single" w:sz="4" w:space="0" w:color="FFFFFF" w:themeColor="background1"/>
        <w:insideV w:val="single" w:sz="4" w:space="0" w:color="FFFFFF" w:themeColor="background1"/>
      </w:tblBorders>
    </w:tblPr>
    <w:tcPr>
      <w:shd w:val="clear" w:color="auto" w:fill="EEE6F4" w:themeFill="accent6" w:themeFillTint="19"/>
    </w:tcPr>
    <w:tblStylePr w:type="firstRow">
      <w:rPr>
        <w:b/>
        <w:bCs/>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6" w:themeFillShade="99"/>
      </w:tcPr>
    </w:tblStylePr>
    <w:tblStylePr w:type="firstCol">
      <w:rPr>
        <w:color w:val="FFFFFF" w:themeColor="background1"/>
      </w:rPr>
      <w:tblPr/>
      <w:tcPr>
        <w:tcBorders>
          <w:top w:val="nil"/>
          <w:left w:val="nil"/>
          <w:bottom w:val="nil"/>
          <w:right w:val="nil"/>
          <w:insideH w:val="single" w:sz="4" w:space="0" w:color="301B41" w:themeColor="accent6" w:themeShade="99"/>
          <w:insideV w:val="nil"/>
        </w:tcBorders>
        <w:shd w:val="clear" w:color="auto" w:fill="301B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6" w:themeFillShade="99"/>
      </w:tcPr>
    </w:tblStylePr>
    <w:tblStylePr w:type="band1Vert">
      <w:tblPr/>
      <w:tcPr>
        <w:shd w:val="clear" w:color="auto" w:fill="BB9AD5" w:themeFill="accent6" w:themeFillTint="66"/>
      </w:tcPr>
    </w:tblStylePr>
    <w:tblStylePr w:type="band1Horz">
      <w:tblPr/>
      <w:tcPr>
        <w:shd w:val="clear" w:color="auto" w:fill="AA81CB"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A7B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1" w:themeFillShade="BF"/>
      </w:tcPr>
    </w:tblStylePr>
    <w:tblStylePr w:type="band1Vert">
      <w:tblPr/>
      <w:tcPr>
        <w:tcBorders>
          <w:top w:val="nil"/>
          <w:left w:val="nil"/>
          <w:bottom w:val="nil"/>
          <w:right w:val="nil"/>
          <w:insideH w:val="nil"/>
          <w:insideV w:val="nil"/>
        </w:tcBorders>
        <w:shd w:val="clear" w:color="auto" w:fill="007C87" w:themeFill="accent1" w:themeFillShade="BF"/>
      </w:tcPr>
    </w:tblStylePr>
    <w:tblStylePr w:type="band1Horz">
      <w:tblPr/>
      <w:tcPr>
        <w:tcBorders>
          <w:top w:val="nil"/>
          <w:left w:val="nil"/>
          <w:bottom w:val="nil"/>
          <w:right w:val="nil"/>
          <w:insideH w:val="nil"/>
          <w:insideV w:val="nil"/>
        </w:tcBorders>
        <w:shd w:val="clear" w:color="auto" w:fill="007C8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9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73" w:themeFill="accent3" w:themeFillShade="BF"/>
      </w:tcPr>
    </w:tblStylePr>
    <w:tblStylePr w:type="band1Vert">
      <w:tblPr/>
      <w:tcPr>
        <w:tcBorders>
          <w:top w:val="nil"/>
          <w:left w:val="nil"/>
          <w:bottom w:val="nil"/>
          <w:right w:val="nil"/>
          <w:insideH w:val="nil"/>
          <w:insideV w:val="nil"/>
        </w:tcBorders>
        <w:shd w:val="clear" w:color="auto" w:fill="268A73" w:themeFill="accent3" w:themeFillShade="BF"/>
      </w:tcPr>
    </w:tblStylePr>
    <w:tblStylePr w:type="band1Horz">
      <w:tblPr/>
      <w:tcPr>
        <w:tcBorders>
          <w:top w:val="nil"/>
          <w:left w:val="nil"/>
          <w:bottom w:val="nil"/>
          <w:right w:val="nil"/>
          <w:insideH w:val="nil"/>
          <w:insideV w:val="nil"/>
        </w:tcBorders>
        <w:shd w:val="clear" w:color="auto" w:fill="268A73"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5" w:themeFillShade="BF"/>
      </w:tcPr>
    </w:tblStylePr>
    <w:tblStylePr w:type="band1Vert">
      <w:tblPr/>
      <w:tcPr>
        <w:tcBorders>
          <w:top w:val="nil"/>
          <w:left w:val="nil"/>
          <w:bottom w:val="nil"/>
          <w:right w:val="nil"/>
          <w:insideH w:val="nil"/>
          <w:insideV w:val="nil"/>
        </w:tcBorders>
        <w:shd w:val="clear" w:color="auto" w:fill="E6C71D" w:themeFill="accent5" w:themeFillShade="BF"/>
      </w:tcPr>
    </w:tblStylePr>
    <w:tblStylePr w:type="band1Horz">
      <w:tblPr/>
      <w:tcPr>
        <w:tcBorders>
          <w:top w:val="nil"/>
          <w:left w:val="nil"/>
          <w:bottom w:val="nil"/>
          <w:right w:val="nil"/>
          <w:insideH w:val="nil"/>
          <w:insideV w:val="nil"/>
        </w:tcBorders>
        <w:shd w:val="clear" w:color="auto" w:fill="E6C71D"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6" w:themeFillShade="BF"/>
      </w:tcPr>
    </w:tblStylePr>
    <w:tblStylePr w:type="band1Vert">
      <w:tblPr/>
      <w:tcPr>
        <w:tcBorders>
          <w:top w:val="nil"/>
          <w:left w:val="nil"/>
          <w:bottom w:val="nil"/>
          <w:right w:val="nil"/>
          <w:insideH w:val="nil"/>
          <w:insideV w:val="nil"/>
        </w:tcBorders>
        <w:shd w:val="clear" w:color="auto" w:fill="3C2151" w:themeFill="accent6" w:themeFillShade="BF"/>
      </w:tcPr>
    </w:tblStylePr>
    <w:tblStylePr w:type="band1Horz">
      <w:tblPr/>
      <w:tcPr>
        <w:tcBorders>
          <w:top w:val="nil"/>
          <w:left w:val="nil"/>
          <w:bottom w:val="nil"/>
          <w:right w:val="nil"/>
          <w:insideH w:val="nil"/>
          <w:insideV w:val="nil"/>
        </w:tcBorders>
        <w:shd w:val="clear" w:color="auto" w:fill="3C2151"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A7B5" w:themeColor="accent1"/>
    </w:rPr>
  </w:style>
  <w:style w:type="paragraph" w:styleId="Strktcitat">
    <w:name w:val="Intense Quote"/>
    <w:basedOn w:val="Normal"/>
    <w:next w:val="Normal"/>
    <w:link w:val="StrktcitatTegn"/>
    <w:uiPriority w:val="99"/>
    <w:semiHidden/>
    <w:qFormat/>
    <w:rsid w:val="00225534"/>
    <w:pPr>
      <w:pBdr>
        <w:bottom w:val="single" w:sz="4" w:space="4" w:color="00A7B5" w:themeColor="accent1"/>
      </w:pBdr>
      <w:spacing w:before="200" w:after="280"/>
      <w:ind w:left="936" w:right="936"/>
    </w:pPr>
    <w:rPr>
      <w:b/>
      <w:bCs/>
      <w:i/>
      <w:iCs/>
      <w:color w:val="00A7B5"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A7B5"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18" w:space="0" w:color="00A7B5" w:themeColor="accent1"/>
          <w:right w:val="single" w:sz="8" w:space="0" w:color="00A7B5" w:themeColor="accent1"/>
          <w:insideH w:val="nil"/>
          <w:insideV w:val="single" w:sz="8" w:space="0" w:color="00A7B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insideH w:val="nil"/>
          <w:insideV w:val="single" w:sz="8" w:space="0" w:color="00A7B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shd w:val="clear" w:color="auto" w:fill="ADF8FF" w:themeFill="accent1" w:themeFillTint="3F"/>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shd w:val="clear" w:color="auto" w:fill="ADF8FF" w:themeFill="accent1" w:themeFillTint="3F"/>
      </w:tcPr>
    </w:tblStylePr>
    <w:tblStylePr w:type="band2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18" w:space="0" w:color="33B99B" w:themeColor="accent3"/>
          <w:right w:val="single" w:sz="8" w:space="0" w:color="33B99B" w:themeColor="accent3"/>
          <w:insideH w:val="nil"/>
          <w:insideV w:val="single" w:sz="8" w:space="0" w:color="33B99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insideH w:val="nil"/>
          <w:insideV w:val="single" w:sz="8" w:space="0" w:color="33B99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shd w:val="clear" w:color="auto" w:fill="C9F0E7" w:themeFill="accent3" w:themeFillTint="3F"/>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shd w:val="clear" w:color="auto" w:fill="C9F0E7" w:themeFill="accent3" w:themeFillTint="3F"/>
      </w:tcPr>
    </w:tblStylePr>
    <w:tblStylePr w:type="band2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18" w:space="0" w:color="EFDB6C" w:themeColor="accent5"/>
          <w:right w:val="single" w:sz="8" w:space="0" w:color="EFDB6C" w:themeColor="accent5"/>
          <w:insideH w:val="nil"/>
          <w:insideV w:val="single" w:sz="8" w:space="0" w:color="EFDB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insideH w:val="nil"/>
          <w:insideV w:val="single" w:sz="8" w:space="0" w:color="EFDB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shd w:val="clear" w:color="auto" w:fill="FBF6DA" w:themeFill="accent5" w:themeFillTint="3F"/>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shd w:val="clear" w:color="auto" w:fill="FBF6DA" w:themeFill="accent5" w:themeFillTint="3F"/>
      </w:tcPr>
    </w:tblStylePr>
    <w:tblStylePr w:type="band2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18" w:space="0" w:color="512D6D" w:themeColor="accent6"/>
          <w:right w:val="single" w:sz="8" w:space="0" w:color="512D6D" w:themeColor="accent6"/>
          <w:insideH w:val="nil"/>
          <w:insideV w:val="single" w:sz="8" w:space="0" w:color="512D6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insideH w:val="nil"/>
          <w:insideV w:val="single" w:sz="8" w:space="0" w:color="512D6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shd w:val="clear" w:color="auto" w:fill="D5C0E5" w:themeFill="accent6" w:themeFillTint="3F"/>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shd w:val="clear" w:color="auto" w:fill="D5C0E5" w:themeFill="accent6" w:themeFillTint="3F"/>
      </w:tcPr>
    </w:tblStylePr>
    <w:tblStylePr w:type="band2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pPr>
        <w:spacing w:before="0" w:after="0" w:line="240" w:lineRule="auto"/>
      </w:pPr>
      <w:rPr>
        <w:b/>
        <w:bCs/>
        <w:color w:val="FFFFFF" w:themeColor="background1"/>
      </w:rPr>
      <w:tblPr/>
      <w:tcPr>
        <w:shd w:val="clear" w:color="auto" w:fill="00A7B5" w:themeFill="accent1"/>
      </w:tcPr>
    </w:tblStylePr>
    <w:tblStylePr w:type="lastRow">
      <w:pPr>
        <w:spacing w:before="0" w:after="0" w:line="240" w:lineRule="auto"/>
      </w:pPr>
      <w:rPr>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tcBorders>
      </w:tcPr>
    </w:tblStylePr>
    <w:tblStylePr w:type="firstCol">
      <w:rPr>
        <w:b/>
        <w:bCs/>
      </w:rPr>
    </w:tblStylePr>
    <w:tblStylePr w:type="lastCol">
      <w:rPr>
        <w:b/>
        <w:bCs/>
      </w:r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pPr>
        <w:spacing w:before="0" w:after="0" w:line="240" w:lineRule="auto"/>
      </w:pPr>
      <w:rPr>
        <w:b/>
        <w:bCs/>
        <w:color w:val="FFFFFF" w:themeColor="background1"/>
      </w:rPr>
      <w:tblPr/>
      <w:tcPr>
        <w:shd w:val="clear" w:color="auto" w:fill="33B99B" w:themeFill="accent3"/>
      </w:tcPr>
    </w:tblStylePr>
    <w:tblStylePr w:type="lastRow">
      <w:pPr>
        <w:spacing w:before="0" w:after="0" w:line="240" w:lineRule="auto"/>
      </w:pPr>
      <w:rPr>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tcBorders>
      </w:tcPr>
    </w:tblStylePr>
    <w:tblStylePr w:type="firstCol">
      <w:rPr>
        <w:b/>
        <w:bCs/>
      </w:rPr>
    </w:tblStylePr>
    <w:tblStylePr w:type="lastCol">
      <w:rPr>
        <w:b/>
        <w:bCs/>
      </w:r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pPr>
        <w:spacing w:before="0" w:after="0" w:line="240" w:lineRule="auto"/>
      </w:pPr>
      <w:rPr>
        <w:b/>
        <w:bCs/>
        <w:color w:val="FFFFFF" w:themeColor="background1"/>
      </w:rPr>
      <w:tblPr/>
      <w:tcPr>
        <w:shd w:val="clear" w:color="auto" w:fill="EFDB6C" w:themeFill="accent5"/>
      </w:tcPr>
    </w:tblStylePr>
    <w:tblStylePr w:type="lastRow">
      <w:pPr>
        <w:spacing w:before="0" w:after="0" w:line="240" w:lineRule="auto"/>
      </w:pPr>
      <w:rPr>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tcBorders>
      </w:tcPr>
    </w:tblStylePr>
    <w:tblStylePr w:type="firstCol">
      <w:rPr>
        <w:b/>
        <w:bCs/>
      </w:rPr>
    </w:tblStylePr>
    <w:tblStylePr w:type="lastCol">
      <w:rPr>
        <w:b/>
        <w:bCs/>
      </w:r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pPr>
        <w:spacing w:before="0" w:after="0" w:line="240" w:lineRule="auto"/>
      </w:pPr>
      <w:rPr>
        <w:b/>
        <w:bCs/>
        <w:color w:val="FFFFFF" w:themeColor="background1"/>
      </w:rPr>
      <w:tblPr/>
      <w:tcPr>
        <w:shd w:val="clear" w:color="auto" w:fill="512D6D" w:themeFill="accent6"/>
      </w:tcPr>
    </w:tblStylePr>
    <w:tblStylePr w:type="lastRow">
      <w:pPr>
        <w:spacing w:before="0" w:after="0" w:line="240" w:lineRule="auto"/>
      </w:pPr>
      <w:rPr>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tcBorders>
      </w:tcPr>
    </w:tblStylePr>
    <w:tblStylePr w:type="firstCol">
      <w:rPr>
        <w:b/>
        <w:bCs/>
      </w:rPr>
    </w:tblStylePr>
    <w:tblStylePr w:type="lastCol">
      <w:rPr>
        <w:b/>
        <w:bCs/>
      </w:r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7C87" w:themeColor="accent1" w:themeShade="BF"/>
    </w:rPr>
    <w:tblPr>
      <w:tblStyleRowBandSize w:val="1"/>
      <w:tblStyleColBandSize w:val="1"/>
      <w:tblBorders>
        <w:top w:val="single" w:sz="8" w:space="0" w:color="00A7B5" w:themeColor="accent1"/>
        <w:bottom w:val="single" w:sz="8" w:space="0" w:color="00A7B5" w:themeColor="accent1"/>
      </w:tblBorders>
    </w:tblPr>
    <w:tblStylePr w:type="fir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la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left w:val="nil"/>
          <w:right w:val="nil"/>
          <w:insideH w:val="nil"/>
          <w:insideV w:val="nil"/>
        </w:tcBorders>
        <w:shd w:val="clear" w:color="auto" w:fill="ADF8FF"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73" w:themeColor="accent3" w:themeShade="BF"/>
    </w:rPr>
    <w:tblPr>
      <w:tblStyleRowBandSize w:val="1"/>
      <w:tblStyleColBandSize w:val="1"/>
      <w:tblBorders>
        <w:top w:val="single" w:sz="8" w:space="0" w:color="33B99B" w:themeColor="accent3"/>
        <w:bottom w:val="single" w:sz="8" w:space="0" w:color="33B99B" w:themeColor="accent3"/>
      </w:tblBorders>
    </w:tblPr>
    <w:tblStylePr w:type="fir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la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left w:val="nil"/>
          <w:right w:val="nil"/>
          <w:insideH w:val="nil"/>
          <w:insideV w:val="nil"/>
        </w:tcBorders>
        <w:shd w:val="clear" w:color="auto" w:fill="C9F0E7"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E6C71D" w:themeColor="accent5" w:themeShade="BF"/>
    </w:rPr>
    <w:tblPr>
      <w:tblStyleRowBandSize w:val="1"/>
      <w:tblStyleColBandSize w:val="1"/>
      <w:tblBorders>
        <w:top w:val="single" w:sz="8" w:space="0" w:color="EFDB6C" w:themeColor="accent5"/>
        <w:bottom w:val="single" w:sz="8" w:space="0" w:color="EFDB6C" w:themeColor="accent5"/>
      </w:tblBorders>
    </w:tblPr>
    <w:tblStylePr w:type="fir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la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left w:val="nil"/>
          <w:right w:val="nil"/>
          <w:insideH w:val="nil"/>
          <w:insideV w:val="nil"/>
        </w:tcBorders>
        <w:shd w:val="clear" w:color="auto" w:fill="FBF6DA"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3C2151" w:themeColor="accent6" w:themeShade="BF"/>
    </w:rPr>
    <w:tblPr>
      <w:tblStyleRowBandSize w:val="1"/>
      <w:tblStyleColBandSize w:val="1"/>
      <w:tblBorders>
        <w:top w:val="single" w:sz="8" w:space="0" w:color="512D6D" w:themeColor="accent6"/>
        <w:bottom w:val="single" w:sz="8" w:space="0" w:color="512D6D" w:themeColor="accent6"/>
      </w:tblBorders>
    </w:tblPr>
    <w:tblStylePr w:type="fir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la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left w:val="nil"/>
          <w:right w:val="nil"/>
          <w:insideH w:val="nil"/>
          <w:insideV w:val="nil"/>
        </w:tcBorders>
        <w:shd w:val="clear" w:color="auto" w:fill="D5C0E5"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insideV w:val="single" w:sz="8" w:space="0" w:color="08EBFF" w:themeColor="accent1" w:themeTint="BF"/>
      </w:tblBorders>
    </w:tblPr>
    <w:tcPr>
      <w:shd w:val="clear" w:color="auto" w:fill="ADF8FF" w:themeFill="accent1" w:themeFillTint="3F"/>
    </w:tcPr>
    <w:tblStylePr w:type="firstRow">
      <w:rPr>
        <w:b/>
        <w:bCs/>
      </w:rPr>
    </w:tblStylePr>
    <w:tblStylePr w:type="lastRow">
      <w:rPr>
        <w:b/>
        <w:bCs/>
      </w:rPr>
      <w:tblPr/>
      <w:tcPr>
        <w:tcBorders>
          <w:top w:val="single" w:sz="18" w:space="0" w:color="08EBFF" w:themeColor="accent1" w:themeTint="BF"/>
        </w:tcBorders>
      </w:tcPr>
    </w:tblStylePr>
    <w:tblStylePr w:type="firstCol">
      <w:rPr>
        <w:b/>
        <w:bCs/>
      </w:rPr>
    </w:tblStylePr>
    <w:tblStylePr w:type="lastCol">
      <w:rPr>
        <w:b/>
        <w:bCs/>
      </w:r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insideV w:val="single" w:sz="8" w:space="0" w:color="5ED2B8" w:themeColor="accent3" w:themeTint="BF"/>
      </w:tblBorders>
    </w:tblPr>
    <w:tcPr>
      <w:shd w:val="clear" w:color="auto" w:fill="C9F0E7" w:themeFill="accent3" w:themeFillTint="3F"/>
    </w:tcPr>
    <w:tblStylePr w:type="firstRow">
      <w:rPr>
        <w:b/>
        <w:bCs/>
      </w:rPr>
    </w:tblStylePr>
    <w:tblStylePr w:type="lastRow">
      <w:rPr>
        <w:b/>
        <w:bCs/>
      </w:rPr>
      <w:tblPr/>
      <w:tcPr>
        <w:tcBorders>
          <w:top w:val="single" w:sz="18" w:space="0" w:color="5ED2B8" w:themeColor="accent3" w:themeTint="BF"/>
        </w:tcBorders>
      </w:tcPr>
    </w:tblStylePr>
    <w:tblStylePr w:type="firstCol">
      <w:rPr>
        <w:b/>
        <w:bCs/>
      </w:rPr>
    </w:tblStylePr>
    <w:tblStylePr w:type="lastCol">
      <w:rPr>
        <w:b/>
        <w:bCs/>
      </w:r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insideV w:val="single" w:sz="8" w:space="0" w:color="F3E390" w:themeColor="accent5" w:themeTint="BF"/>
      </w:tblBorders>
    </w:tblPr>
    <w:tcPr>
      <w:shd w:val="clear" w:color="auto" w:fill="FBF6DA" w:themeFill="accent5" w:themeFillTint="3F"/>
    </w:tcPr>
    <w:tblStylePr w:type="firstRow">
      <w:rPr>
        <w:b/>
        <w:bCs/>
      </w:rPr>
    </w:tblStylePr>
    <w:tblStylePr w:type="lastRow">
      <w:rPr>
        <w:b/>
        <w:bCs/>
      </w:rPr>
      <w:tblPr/>
      <w:tcPr>
        <w:tcBorders>
          <w:top w:val="single" w:sz="18" w:space="0" w:color="F3E390" w:themeColor="accent5" w:themeTint="BF"/>
        </w:tcBorders>
      </w:tcPr>
    </w:tblStylePr>
    <w:tblStylePr w:type="firstCol">
      <w:rPr>
        <w:b/>
        <w:bCs/>
      </w:rPr>
    </w:tblStylePr>
    <w:tblStylePr w:type="lastCol">
      <w:rPr>
        <w:b/>
        <w:bCs/>
      </w:r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insideV w:val="single" w:sz="8" w:space="0" w:color="7F47AC" w:themeColor="accent6" w:themeTint="BF"/>
      </w:tblBorders>
    </w:tblPr>
    <w:tcPr>
      <w:shd w:val="clear" w:color="auto" w:fill="D5C0E5" w:themeFill="accent6" w:themeFillTint="3F"/>
    </w:tcPr>
    <w:tblStylePr w:type="firstRow">
      <w:rPr>
        <w:b/>
        <w:bCs/>
      </w:rPr>
    </w:tblStylePr>
    <w:tblStylePr w:type="lastRow">
      <w:rPr>
        <w:b/>
        <w:bCs/>
      </w:rPr>
      <w:tblPr/>
      <w:tcPr>
        <w:tcBorders>
          <w:top w:val="single" w:sz="18" w:space="0" w:color="7F47AC" w:themeColor="accent6" w:themeTint="BF"/>
        </w:tcBorders>
      </w:tcPr>
    </w:tblStylePr>
    <w:tblStylePr w:type="firstCol">
      <w:rPr>
        <w:b/>
        <w:bCs/>
      </w:rPr>
    </w:tblStylePr>
    <w:tblStylePr w:type="lastCol">
      <w:rPr>
        <w:b/>
        <w:bCs/>
      </w:r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cPr>
      <w:shd w:val="clear" w:color="auto" w:fill="ADF8FF" w:themeFill="accent1" w:themeFillTint="3F"/>
    </w:tcPr>
    <w:tblStylePr w:type="firstRow">
      <w:rPr>
        <w:b/>
        <w:bCs/>
        <w:color w:val="000000" w:themeColor="text1"/>
      </w:rPr>
      <w:tblPr/>
      <w:tcPr>
        <w:shd w:val="clear" w:color="auto" w:fill="DE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1" w:themeFillTint="33"/>
      </w:tcPr>
    </w:tblStylePr>
    <w:tblStylePr w:type="band1Vert">
      <w:tblPr/>
      <w:tcPr>
        <w:shd w:val="clear" w:color="auto" w:fill="5BF2FF" w:themeFill="accent1" w:themeFillTint="7F"/>
      </w:tcPr>
    </w:tblStylePr>
    <w:tblStylePr w:type="band1Horz">
      <w:tblPr/>
      <w:tcPr>
        <w:tcBorders>
          <w:insideH w:val="single" w:sz="6" w:space="0" w:color="00A7B5" w:themeColor="accent1"/>
          <w:insideV w:val="single" w:sz="6" w:space="0" w:color="00A7B5" w:themeColor="accent1"/>
        </w:tcBorders>
        <w:shd w:val="clear" w:color="auto" w:fill="5BF2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cPr>
      <w:shd w:val="clear" w:color="auto" w:fill="C9F0E7" w:themeFill="accent3" w:themeFillTint="3F"/>
    </w:tcPr>
    <w:tblStylePr w:type="firstRow">
      <w:rPr>
        <w:b/>
        <w:bCs/>
        <w:color w:val="000000" w:themeColor="text1"/>
      </w:rPr>
      <w:tblPr/>
      <w:tcPr>
        <w:shd w:val="clear" w:color="auto" w:fill="E9F9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3EC" w:themeFill="accent3" w:themeFillTint="33"/>
      </w:tcPr>
    </w:tblStylePr>
    <w:tblStylePr w:type="band1Vert">
      <w:tblPr/>
      <w:tcPr>
        <w:shd w:val="clear" w:color="auto" w:fill="93E1CF" w:themeFill="accent3" w:themeFillTint="7F"/>
      </w:tcPr>
    </w:tblStylePr>
    <w:tblStylePr w:type="band1Horz">
      <w:tblPr/>
      <w:tcPr>
        <w:tcBorders>
          <w:insideH w:val="single" w:sz="6" w:space="0" w:color="33B99B" w:themeColor="accent3"/>
          <w:insideV w:val="single" w:sz="6" w:space="0" w:color="33B99B" w:themeColor="accent3"/>
        </w:tcBorders>
        <w:shd w:val="clear" w:color="auto" w:fill="93E1C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cPr>
      <w:shd w:val="clear" w:color="auto" w:fill="FBF6DA" w:themeFill="accent5" w:themeFillTint="3F"/>
    </w:tcPr>
    <w:tblStylePr w:type="firstRow">
      <w:rPr>
        <w:b/>
        <w:bCs/>
        <w:color w:val="000000" w:themeColor="text1"/>
      </w:rPr>
      <w:tblPr/>
      <w:tcPr>
        <w:shd w:val="clear" w:color="auto" w:fill="FDFB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5" w:themeFillTint="33"/>
      </w:tcPr>
    </w:tblStylePr>
    <w:tblStylePr w:type="band1Vert">
      <w:tblPr/>
      <w:tcPr>
        <w:shd w:val="clear" w:color="auto" w:fill="F7EDB5" w:themeFill="accent5" w:themeFillTint="7F"/>
      </w:tcPr>
    </w:tblStylePr>
    <w:tblStylePr w:type="band1Horz">
      <w:tblPr/>
      <w:tcPr>
        <w:tcBorders>
          <w:insideH w:val="single" w:sz="6" w:space="0" w:color="EFDB6C" w:themeColor="accent5"/>
          <w:insideV w:val="single" w:sz="6" w:space="0" w:color="EFDB6C" w:themeColor="accent5"/>
        </w:tcBorders>
        <w:shd w:val="clear" w:color="auto" w:fill="F7EDB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cPr>
      <w:shd w:val="clear" w:color="auto" w:fill="D5C0E5" w:themeFill="accent6" w:themeFillTint="3F"/>
    </w:tcPr>
    <w:tblStylePr w:type="firstRow">
      <w:rPr>
        <w:b/>
        <w:bCs/>
        <w:color w:val="000000" w:themeColor="text1"/>
      </w:rPr>
      <w:tblPr/>
      <w:tcPr>
        <w:shd w:val="clear" w:color="auto" w:fill="EEE6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6" w:themeFillTint="33"/>
      </w:tcPr>
    </w:tblStylePr>
    <w:tblStylePr w:type="band1Vert">
      <w:tblPr/>
      <w:tcPr>
        <w:shd w:val="clear" w:color="auto" w:fill="AA81CB" w:themeFill="accent6" w:themeFillTint="7F"/>
      </w:tcPr>
    </w:tblStylePr>
    <w:tblStylePr w:type="band1Horz">
      <w:tblPr/>
      <w:tcPr>
        <w:tcBorders>
          <w:insideH w:val="single" w:sz="6" w:space="0" w:color="512D6D" w:themeColor="accent6"/>
          <w:insideV w:val="single" w:sz="6" w:space="0" w:color="512D6D" w:themeColor="accent6"/>
        </w:tcBorders>
        <w:shd w:val="clear" w:color="auto" w:fill="AA81CB"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0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9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9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E1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E1C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9E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A7B5" w:themeColor="accent1"/>
        <w:bottom w:val="single" w:sz="8" w:space="0" w:color="00A7B5" w:themeColor="accent1"/>
      </w:tblBorders>
    </w:tblPr>
    <w:tblStylePr w:type="firstRow">
      <w:rPr>
        <w:rFonts w:asciiTheme="majorHAnsi" w:eastAsiaTheme="majorEastAsia" w:hAnsiTheme="majorHAnsi" w:cstheme="majorBidi"/>
      </w:rPr>
      <w:tblPr/>
      <w:tcPr>
        <w:tcBorders>
          <w:top w:val="nil"/>
          <w:bottom w:val="single" w:sz="8" w:space="0" w:color="00A7B5" w:themeColor="accent1"/>
        </w:tcBorders>
      </w:tcPr>
    </w:tblStylePr>
    <w:tblStylePr w:type="lastRow">
      <w:rPr>
        <w:b/>
        <w:bCs/>
        <w:color w:val="BFE9EC" w:themeColor="text2"/>
      </w:rPr>
      <w:tblPr/>
      <w:tcPr>
        <w:tcBorders>
          <w:top w:val="single" w:sz="8" w:space="0" w:color="00A7B5" w:themeColor="accent1"/>
          <w:bottom w:val="single" w:sz="8" w:space="0" w:color="00A7B5" w:themeColor="accent1"/>
        </w:tcBorders>
      </w:tcPr>
    </w:tblStylePr>
    <w:tblStylePr w:type="firstCol">
      <w:rPr>
        <w:b/>
        <w:bCs/>
      </w:rPr>
    </w:tblStylePr>
    <w:tblStylePr w:type="lastCol">
      <w:rPr>
        <w:b/>
        <w:bCs/>
      </w:rPr>
      <w:tblPr/>
      <w:tcPr>
        <w:tcBorders>
          <w:top w:val="single" w:sz="8" w:space="0" w:color="00A7B5" w:themeColor="accent1"/>
          <w:bottom w:val="single" w:sz="8" w:space="0" w:color="00A7B5" w:themeColor="accent1"/>
        </w:tcBorders>
      </w:tcPr>
    </w:tblStylePr>
    <w:tblStylePr w:type="band1Vert">
      <w:tblPr/>
      <w:tcPr>
        <w:shd w:val="clear" w:color="auto" w:fill="ADF8FF" w:themeFill="accent1" w:themeFillTint="3F"/>
      </w:tcPr>
    </w:tblStylePr>
    <w:tblStylePr w:type="band1Horz">
      <w:tblPr/>
      <w:tcPr>
        <w:shd w:val="clear" w:color="auto" w:fill="ADF8FF"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9EC"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9B" w:themeColor="accent3"/>
        <w:bottom w:val="single" w:sz="8" w:space="0" w:color="33B99B" w:themeColor="accent3"/>
      </w:tblBorders>
    </w:tblPr>
    <w:tblStylePr w:type="firstRow">
      <w:rPr>
        <w:rFonts w:asciiTheme="majorHAnsi" w:eastAsiaTheme="majorEastAsia" w:hAnsiTheme="majorHAnsi" w:cstheme="majorBidi"/>
      </w:rPr>
      <w:tblPr/>
      <w:tcPr>
        <w:tcBorders>
          <w:top w:val="nil"/>
          <w:bottom w:val="single" w:sz="8" w:space="0" w:color="33B99B" w:themeColor="accent3"/>
        </w:tcBorders>
      </w:tcPr>
    </w:tblStylePr>
    <w:tblStylePr w:type="lastRow">
      <w:rPr>
        <w:b/>
        <w:bCs/>
        <w:color w:val="BFE9EC" w:themeColor="text2"/>
      </w:rPr>
      <w:tblPr/>
      <w:tcPr>
        <w:tcBorders>
          <w:top w:val="single" w:sz="8" w:space="0" w:color="33B99B" w:themeColor="accent3"/>
          <w:bottom w:val="single" w:sz="8" w:space="0" w:color="33B99B" w:themeColor="accent3"/>
        </w:tcBorders>
      </w:tcPr>
    </w:tblStylePr>
    <w:tblStylePr w:type="firstCol">
      <w:rPr>
        <w:b/>
        <w:bCs/>
      </w:rPr>
    </w:tblStylePr>
    <w:tblStylePr w:type="lastCol">
      <w:rPr>
        <w:b/>
        <w:bCs/>
      </w:rPr>
      <w:tblPr/>
      <w:tcPr>
        <w:tcBorders>
          <w:top w:val="single" w:sz="8" w:space="0" w:color="33B99B" w:themeColor="accent3"/>
          <w:bottom w:val="single" w:sz="8" w:space="0" w:color="33B99B" w:themeColor="accent3"/>
        </w:tcBorders>
      </w:tcPr>
    </w:tblStylePr>
    <w:tblStylePr w:type="band1Vert">
      <w:tblPr/>
      <w:tcPr>
        <w:shd w:val="clear" w:color="auto" w:fill="C9F0E7" w:themeFill="accent3" w:themeFillTint="3F"/>
      </w:tcPr>
    </w:tblStylePr>
    <w:tblStylePr w:type="band1Horz">
      <w:tblPr/>
      <w:tcPr>
        <w:shd w:val="clear" w:color="auto" w:fill="C9F0E7"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E9EC"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5"/>
        <w:bottom w:val="single" w:sz="8" w:space="0" w:color="EFDB6C" w:themeColor="accent5"/>
      </w:tblBorders>
    </w:tblPr>
    <w:tblStylePr w:type="firstRow">
      <w:rPr>
        <w:rFonts w:asciiTheme="majorHAnsi" w:eastAsiaTheme="majorEastAsia" w:hAnsiTheme="majorHAnsi" w:cstheme="majorBidi"/>
      </w:rPr>
      <w:tblPr/>
      <w:tcPr>
        <w:tcBorders>
          <w:top w:val="nil"/>
          <w:bottom w:val="single" w:sz="8" w:space="0" w:color="EFDB6C" w:themeColor="accent5"/>
        </w:tcBorders>
      </w:tcPr>
    </w:tblStylePr>
    <w:tblStylePr w:type="lastRow">
      <w:rPr>
        <w:b/>
        <w:bCs/>
        <w:color w:val="BFE9EC" w:themeColor="text2"/>
      </w:rPr>
      <w:tblPr/>
      <w:tcPr>
        <w:tcBorders>
          <w:top w:val="single" w:sz="8" w:space="0" w:color="EFDB6C" w:themeColor="accent5"/>
          <w:bottom w:val="single" w:sz="8" w:space="0" w:color="EFDB6C" w:themeColor="accent5"/>
        </w:tcBorders>
      </w:tcPr>
    </w:tblStylePr>
    <w:tblStylePr w:type="firstCol">
      <w:rPr>
        <w:b/>
        <w:bCs/>
      </w:rPr>
    </w:tblStylePr>
    <w:tblStylePr w:type="lastCol">
      <w:rPr>
        <w:b/>
        <w:bCs/>
      </w:rPr>
      <w:tblPr/>
      <w:tcPr>
        <w:tcBorders>
          <w:top w:val="single" w:sz="8" w:space="0" w:color="EFDB6C" w:themeColor="accent5"/>
          <w:bottom w:val="single" w:sz="8" w:space="0" w:color="EFDB6C" w:themeColor="accent5"/>
        </w:tcBorders>
      </w:tcPr>
    </w:tblStylePr>
    <w:tblStylePr w:type="band1Vert">
      <w:tblPr/>
      <w:tcPr>
        <w:shd w:val="clear" w:color="auto" w:fill="FBF6DA" w:themeFill="accent5" w:themeFillTint="3F"/>
      </w:tcPr>
    </w:tblStylePr>
    <w:tblStylePr w:type="band1Horz">
      <w:tblPr/>
      <w:tcPr>
        <w:shd w:val="clear" w:color="auto" w:fill="FBF6DA"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6"/>
        <w:bottom w:val="single" w:sz="8" w:space="0" w:color="512D6D" w:themeColor="accent6"/>
      </w:tblBorders>
    </w:tblPr>
    <w:tblStylePr w:type="firstRow">
      <w:rPr>
        <w:rFonts w:asciiTheme="majorHAnsi" w:eastAsiaTheme="majorEastAsia" w:hAnsiTheme="majorHAnsi" w:cstheme="majorBidi"/>
      </w:rPr>
      <w:tblPr/>
      <w:tcPr>
        <w:tcBorders>
          <w:top w:val="nil"/>
          <w:bottom w:val="single" w:sz="8" w:space="0" w:color="512D6D" w:themeColor="accent6"/>
        </w:tcBorders>
      </w:tcPr>
    </w:tblStylePr>
    <w:tblStylePr w:type="lastRow">
      <w:rPr>
        <w:b/>
        <w:bCs/>
        <w:color w:val="BFE9EC" w:themeColor="text2"/>
      </w:rPr>
      <w:tblPr/>
      <w:tcPr>
        <w:tcBorders>
          <w:top w:val="single" w:sz="8" w:space="0" w:color="512D6D" w:themeColor="accent6"/>
          <w:bottom w:val="single" w:sz="8" w:space="0" w:color="512D6D" w:themeColor="accent6"/>
        </w:tcBorders>
      </w:tcPr>
    </w:tblStylePr>
    <w:tblStylePr w:type="firstCol">
      <w:rPr>
        <w:b/>
        <w:bCs/>
      </w:rPr>
    </w:tblStylePr>
    <w:tblStylePr w:type="lastCol">
      <w:rPr>
        <w:b/>
        <w:bCs/>
      </w:rPr>
      <w:tblPr/>
      <w:tcPr>
        <w:tcBorders>
          <w:top w:val="single" w:sz="8" w:space="0" w:color="512D6D" w:themeColor="accent6"/>
          <w:bottom w:val="single" w:sz="8" w:space="0" w:color="512D6D" w:themeColor="accent6"/>
        </w:tcBorders>
      </w:tcPr>
    </w:tblStylePr>
    <w:tblStylePr w:type="band1Vert">
      <w:tblPr/>
      <w:tcPr>
        <w:shd w:val="clear" w:color="auto" w:fill="D5C0E5" w:themeFill="accent6" w:themeFillTint="3F"/>
      </w:tcPr>
    </w:tblStylePr>
    <w:tblStylePr w:type="band1Horz">
      <w:tblPr/>
      <w:tcPr>
        <w:shd w:val="clear" w:color="auto" w:fill="D5C0E5"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rPr>
        <w:sz w:val="24"/>
        <w:szCs w:val="24"/>
      </w:rPr>
      <w:tblPr/>
      <w:tcPr>
        <w:tcBorders>
          <w:top w:val="nil"/>
          <w:left w:val="nil"/>
          <w:bottom w:val="single" w:sz="24" w:space="0" w:color="00A7B5" w:themeColor="accent1"/>
          <w:right w:val="nil"/>
          <w:insideH w:val="nil"/>
          <w:insideV w:val="nil"/>
        </w:tcBorders>
        <w:shd w:val="clear" w:color="auto" w:fill="FFFFFF" w:themeFill="background1"/>
      </w:tcPr>
    </w:tblStylePr>
    <w:tblStylePr w:type="lastRow">
      <w:tblPr/>
      <w:tcPr>
        <w:tcBorders>
          <w:top w:val="single" w:sz="8" w:space="0" w:color="00A7B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1"/>
          <w:insideH w:val="nil"/>
          <w:insideV w:val="nil"/>
        </w:tcBorders>
        <w:shd w:val="clear" w:color="auto" w:fill="FFFFFF" w:themeFill="background1"/>
      </w:tcPr>
    </w:tblStylePr>
    <w:tblStylePr w:type="lastCol">
      <w:tblPr/>
      <w:tcPr>
        <w:tcBorders>
          <w:top w:val="nil"/>
          <w:left w:val="single" w:sz="8" w:space="0" w:color="00A7B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top w:val="nil"/>
          <w:bottom w:val="nil"/>
          <w:insideH w:val="nil"/>
          <w:insideV w:val="nil"/>
        </w:tcBorders>
        <w:shd w:val="clear" w:color="auto" w:fill="ADF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rPr>
        <w:sz w:val="24"/>
        <w:szCs w:val="24"/>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tblPr/>
      <w:tcPr>
        <w:tcBorders>
          <w:top w:val="single" w:sz="8" w:space="0" w:color="33B99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9B" w:themeColor="accent3"/>
          <w:insideH w:val="nil"/>
          <w:insideV w:val="nil"/>
        </w:tcBorders>
        <w:shd w:val="clear" w:color="auto" w:fill="FFFFFF" w:themeFill="background1"/>
      </w:tcPr>
    </w:tblStylePr>
    <w:tblStylePr w:type="lastCol">
      <w:tblPr/>
      <w:tcPr>
        <w:tcBorders>
          <w:top w:val="nil"/>
          <w:left w:val="single" w:sz="8" w:space="0" w:color="33B99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top w:val="nil"/>
          <w:bottom w:val="nil"/>
          <w:insideH w:val="nil"/>
          <w:insideV w:val="nil"/>
        </w:tcBorders>
        <w:shd w:val="clear" w:color="auto" w:fill="C9F0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rPr>
        <w:sz w:val="24"/>
        <w:szCs w:val="24"/>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tblPr/>
      <w:tcPr>
        <w:tcBorders>
          <w:top w:val="single" w:sz="8" w:space="0" w:color="EFDB6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5"/>
          <w:insideH w:val="nil"/>
          <w:insideV w:val="nil"/>
        </w:tcBorders>
        <w:shd w:val="clear" w:color="auto" w:fill="FFFFFF" w:themeFill="background1"/>
      </w:tcPr>
    </w:tblStylePr>
    <w:tblStylePr w:type="lastCol">
      <w:tblPr/>
      <w:tcPr>
        <w:tcBorders>
          <w:top w:val="nil"/>
          <w:left w:val="single" w:sz="8" w:space="0" w:color="EFDB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top w:val="nil"/>
          <w:bottom w:val="nil"/>
          <w:insideH w:val="nil"/>
          <w:insideV w:val="nil"/>
        </w:tcBorders>
        <w:shd w:val="clear" w:color="auto" w:fill="FBF6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rPr>
        <w:sz w:val="24"/>
        <w:szCs w:val="24"/>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tblPr/>
      <w:tcPr>
        <w:tcBorders>
          <w:top w:val="single" w:sz="8" w:space="0" w:color="512D6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6"/>
          <w:insideH w:val="nil"/>
          <w:insideV w:val="nil"/>
        </w:tcBorders>
        <w:shd w:val="clear" w:color="auto" w:fill="FFFFFF" w:themeFill="background1"/>
      </w:tcPr>
    </w:tblStylePr>
    <w:tblStylePr w:type="lastCol">
      <w:tblPr/>
      <w:tcPr>
        <w:tcBorders>
          <w:top w:val="nil"/>
          <w:left w:val="single" w:sz="8" w:space="0" w:color="512D6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top w:val="nil"/>
          <w:bottom w:val="nil"/>
          <w:insideH w:val="nil"/>
          <w:insideV w:val="nil"/>
        </w:tcBorders>
        <w:shd w:val="clear" w:color="auto" w:fill="D5C0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tblBorders>
    </w:tblPr>
    <w:tblStylePr w:type="firstRow">
      <w:pPr>
        <w:spacing w:before="0" w:after="0" w:line="240" w:lineRule="auto"/>
      </w:pPr>
      <w:rPr>
        <w:b/>
        <w:bCs/>
        <w:color w:val="FFFFFF" w:themeColor="background1"/>
      </w:rPr>
      <w:tblPr/>
      <w:tcPr>
        <w:tc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shd w:val="clear" w:color="auto" w:fill="00A7B5" w:themeFill="accent1"/>
      </w:tcPr>
    </w:tblStylePr>
    <w:tblStylePr w:type="lastRow">
      <w:pPr>
        <w:spacing w:before="0" w:after="0" w:line="240" w:lineRule="auto"/>
      </w:pPr>
      <w:rPr>
        <w:b/>
        <w:bCs/>
      </w:rPr>
      <w:tblPr/>
      <w:tcPr>
        <w:tcBorders>
          <w:top w:val="double" w:sz="6"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1" w:themeFillTint="3F"/>
      </w:tcPr>
    </w:tblStylePr>
    <w:tblStylePr w:type="band1Horz">
      <w:tblPr/>
      <w:tcPr>
        <w:tcBorders>
          <w:insideH w:val="nil"/>
          <w:insideV w:val="nil"/>
        </w:tcBorders>
        <w:shd w:val="clear" w:color="auto" w:fill="ADF8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tblBorders>
    </w:tblPr>
    <w:tblStylePr w:type="firstRow">
      <w:pPr>
        <w:spacing w:before="0" w:after="0" w:line="240" w:lineRule="auto"/>
      </w:pPr>
      <w:rPr>
        <w:b/>
        <w:bCs/>
        <w:color w:val="FFFFFF" w:themeColor="background1"/>
      </w:rPr>
      <w:tblPr/>
      <w:tcPr>
        <w:tc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shd w:val="clear" w:color="auto" w:fill="33B99B" w:themeFill="accent3"/>
      </w:tcPr>
    </w:tblStylePr>
    <w:tblStylePr w:type="lastRow">
      <w:pPr>
        <w:spacing w:before="0" w:after="0" w:line="240" w:lineRule="auto"/>
      </w:pPr>
      <w:rPr>
        <w:b/>
        <w:bCs/>
      </w:rPr>
      <w:tblPr/>
      <w:tcPr>
        <w:tcBorders>
          <w:top w:val="double" w:sz="6"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0E7" w:themeFill="accent3" w:themeFillTint="3F"/>
      </w:tcPr>
    </w:tblStylePr>
    <w:tblStylePr w:type="band1Horz">
      <w:tblPr/>
      <w:tcPr>
        <w:tcBorders>
          <w:insideH w:val="nil"/>
          <w:insideV w:val="nil"/>
        </w:tcBorders>
        <w:shd w:val="clear" w:color="auto" w:fill="C9F0E7"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tblBorders>
    </w:tblPr>
    <w:tblStylePr w:type="firstRow">
      <w:pPr>
        <w:spacing w:before="0" w:after="0" w:line="240" w:lineRule="auto"/>
      </w:pPr>
      <w:rPr>
        <w:b/>
        <w:bCs/>
        <w:color w:val="FFFFFF" w:themeColor="background1"/>
      </w:rPr>
      <w:tblPr/>
      <w:tcPr>
        <w:tc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shd w:val="clear" w:color="auto" w:fill="EFDB6C" w:themeFill="accent5"/>
      </w:tcPr>
    </w:tblStylePr>
    <w:tblStylePr w:type="lastRow">
      <w:pPr>
        <w:spacing w:before="0" w:after="0" w:line="240" w:lineRule="auto"/>
      </w:pPr>
      <w:rPr>
        <w:b/>
        <w:bCs/>
      </w:rPr>
      <w:tblPr/>
      <w:tcPr>
        <w:tcBorders>
          <w:top w:val="double" w:sz="6"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5" w:themeFillTint="3F"/>
      </w:tcPr>
    </w:tblStylePr>
    <w:tblStylePr w:type="band1Horz">
      <w:tblPr/>
      <w:tcPr>
        <w:tcBorders>
          <w:insideH w:val="nil"/>
          <w:insideV w:val="nil"/>
        </w:tcBorders>
        <w:shd w:val="clear" w:color="auto" w:fill="FBF6D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tblBorders>
    </w:tblPr>
    <w:tblStylePr w:type="firstRow">
      <w:pPr>
        <w:spacing w:before="0" w:after="0" w:line="240" w:lineRule="auto"/>
      </w:pPr>
      <w:rPr>
        <w:b/>
        <w:bCs/>
        <w:color w:val="FFFFFF" w:themeColor="background1"/>
      </w:rPr>
      <w:tblPr/>
      <w:tcPr>
        <w:tc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shd w:val="clear" w:color="auto" w:fill="512D6D" w:themeFill="accent6"/>
      </w:tcPr>
    </w:tblStylePr>
    <w:tblStylePr w:type="lastRow">
      <w:pPr>
        <w:spacing w:before="0" w:after="0" w:line="240" w:lineRule="auto"/>
      </w:pPr>
      <w:rPr>
        <w:b/>
        <w:bCs/>
      </w:rPr>
      <w:tblPr/>
      <w:tcPr>
        <w:tcBorders>
          <w:top w:val="double" w:sz="6"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6" w:themeFillTint="3F"/>
      </w:tcPr>
    </w:tblStylePr>
    <w:tblStylePr w:type="band1Horz">
      <w:tblPr/>
      <w:tcPr>
        <w:tcBorders>
          <w:insideH w:val="nil"/>
          <w:insideV w:val="nil"/>
        </w:tcBorders>
        <w:shd w:val="clear" w:color="auto" w:fill="D5C0E5"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7B5" w:themeFill="accent1"/>
      </w:tcPr>
    </w:tblStylePr>
    <w:tblStylePr w:type="lastCol">
      <w:rPr>
        <w:b/>
        <w:bCs/>
        <w:color w:val="FFFFFF" w:themeColor="background1"/>
      </w:rPr>
      <w:tblPr/>
      <w:tcPr>
        <w:tcBorders>
          <w:left w:val="nil"/>
          <w:right w:val="nil"/>
          <w:insideH w:val="nil"/>
          <w:insideV w:val="nil"/>
        </w:tcBorders>
        <w:shd w:val="clear" w:color="auto" w:fill="00A7B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9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9B" w:themeFill="accent3"/>
      </w:tcPr>
    </w:tblStylePr>
    <w:tblStylePr w:type="lastCol">
      <w:rPr>
        <w:b/>
        <w:bCs/>
        <w:color w:val="FFFFFF" w:themeColor="background1"/>
      </w:rPr>
      <w:tblPr/>
      <w:tcPr>
        <w:tcBorders>
          <w:left w:val="nil"/>
          <w:right w:val="nil"/>
          <w:insideH w:val="nil"/>
          <w:insideV w:val="nil"/>
        </w:tcBorders>
        <w:shd w:val="clear" w:color="auto" w:fill="33B99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5"/>
      </w:tcPr>
    </w:tblStylePr>
    <w:tblStylePr w:type="lastCol">
      <w:rPr>
        <w:b/>
        <w:bCs/>
        <w:color w:val="FFFFFF" w:themeColor="background1"/>
      </w:rPr>
      <w:tblPr/>
      <w:tcPr>
        <w:tcBorders>
          <w:left w:val="nil"/>
          <w:right w:val="nil"/>
          <w:insideH w:val="nil"/>
          <w:insideV w:val="nil"/>
        </w:tcBorders>
        <w:shd w:val="clear" w:color="auto" w:fill="EFDB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6"/>
      </w:tcPr>
    </w:tblStylePr>
    <w:tblStylePr w:type="lastCol">
      <w:rPr>
        <w:b/>
        <w:bCs/>
        <w:color w:val="FFFFFF" w:themeColor="background1"/>
      </w:rPr>
      <w:tblPr/>
      <w:tcPr>
        <w:tcBorders>
          <w:left w:val="nil"/>
          <w:right w:val="nil"/>
          <w:insideH w:val="nil"/>
          <w:insideV w:val="nil"/>
        </w:tcBorders>
        <w:shd w:val="clear" w:color="auto" w:fill="512D6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semiHidden/>
    <w:rsid w:val="007A04FE"/>
    <w:rPr>
      <w:sz w:val="14"/>
    </w:rPr>
  </w:style>
  <w:style w:type="paragraph" w:styleId="Korrektur">
    <w:name w:val="Revision"/>
    <w:hidden/>
    <w:uiPriority w:val="99"/>
    <w:semiHidden/>
    <w:rsid w:val="00751650"/>
    <w:pPr>
      <w:spacing w:line="240" w:lineRule="auto"/>
    </w:pPr>
  </w:style>
  <w:style w:type="paragraph" w:customStyle="1" w:styleId="Default">
    <w:name w:val="Default"/>
    <w:rsid w:val="006B50DB"/>
    <w:pPr>
      <w:autoSpaceDE w:val="0"/>
      <w:autoSpaceDN w:val="0"/>
      <w:adjustRightInd w:val="0"/>
      <w:spacing w:line="240" w:lineRule="auto"/>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984984">
      <w:bodyDiv w:val="1"/>
      <w:marLeft w:val="0"/>
      <w:marRight w:val="0"/>
      <w:marTop w:val="0"/>
      <w:marBottom w:val="0"/>
      <w:divBdr>
        <w:top w:val="none" w:sz="0" w:space="0" w:color="auto"/>
        <w:left w:val="none" w:sz="0" w:space="0" w:color="auto"/>
        <w:bottom w:val="none" w:sz="0" w:space="0" w:color="auto"/>
        <w:right w:val="none" w:sz="0" w:space="0" w:color="auto"/>
      </w:divBdr>
    </w:div>
    <w:div w:id="884681713">
      <w:bodyDiv w:val="1"/>
      <w:marLeft w:val="0"/>
      <w:marRight w:val="0"/>
      <w:marTop w:val="0"/>
      <w:marBottom w:val="0"/>
      <w:divBdr>
        <w:top w:val="none" w:sz="0" w:space="0" w:color="auto"/>
        <w:left w:val="none" w:sz="0" w:space="0" w:color="auto"/>
        <w:bottom w:val="none" w:sz="0" w:space="0" w:color="auto"/>
        <w:right w:val="none" w:sz="0" w:space="0" w:color="auto"/>
      </w:divBdr>
    </w:div>
    <w:div w:id="1309900608">
      <w:bodyDiv w:val="1"/>
      <w:marLeft w:val="0"/>
      <w:marRight w:val="0"/>
      <w:marTop w:val="0"/>
      <w:marBottom w:val="0"/>
      <w:divBdr>
        <w:top w:val="none" w:sz="0" w:space="0" w:color="auto"/>
        <w:left w:val="none" w:sz="0" w:space="0" w:color="auto"/>
        <w:bottom w:val="none" w:sz="0" w:space="0" w:color="auto"/>
        <w:right w:val="none" w:sz="0" w:space="0" w:color="auto"/>
      </w:divBdr>
    </w:div>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bst.dk/virksomheder/froe-og-korn/udvalg/arbejdsgruppen-om-certificering-af-froe-og-saedekor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MFVM - NaturErhvervstyrelsen">
      <a:dk1>
        <a:srgbClr val="000000"/>
      </a:dk1>
      <a:lt1>
        <a:sysClr val="window" lastClr="FFFFFF"/>
      </a:lt1>
      <a:dk2>
        <a:srgbClr val="BFE9EC"/>
      </a:dk2>
      <a:lt2>
        <a:srgbClr val="E5F6F7"/>
      </a:lt2>
      <a:accent1>
        <a:srgbClr val="00A7B5"/>
      </a:accent1>
      <a:accent2>
        <a:srgbClr val="003127"/>
      </a:accent2>
      <a:accent3>
        <a:srgbClr val="33B99B"/>
      </a:accent3>
      <a:accent4>
        <a:srgbClr val="0085AD"/>
      </a:accent4>
      <a:accent5>
        <a:srgbClr val="EFDB6C"/>
      </a:accent5>
      <a:accent6>
        <a:srgbClr val="512D6D"/>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2797</Words>
  <Characters>15282</Characters>
  <Application>Microsoft Office Word</Application>
  <DocSecurity>0</DocSecurity>
  <Lines>127</Lines>
  <Paragraphs>36</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Notat</vt:lpstr>
      <vt:lpstr>Notat</vt:lpstr>
      <vt:lpstr>Notat om </vt:lpstr>
      <vt:lpstr>Problemstilling</vt:lpstr>
      <vt:lpstr>Baggrund</vt:lpstr>
      <vt:lpstr>Løsning [Kun hvis relevant]</vt:lpstr>
    </vt:vector>
  </TitlesOfParts>
  <Company>Miljøministeriet</Company>
  <LinksUpToDate>false</LinksUpToDate>
  <CharactersWithSpaces>18043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meb</dc:creator>
  <cp:keywords/>
  <dc:description/>
  <cp:lastModifiedBy>Merete Buus (LFST)</cp:lastModifiedBy>
  <cp:revision>3</cp:revision>
  <cp:lastPrinted>2016-04-08T09:59:00Z</cp:lastPrinted>
  <dcterms:created xsi:type="dcterms:W3CDTF">2018-06-11T12:46:00Z</dcterms:created>
  <dcterms:modified xsi:type="dcterms:W3CDTF">2018-06-11T12:46:00Z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Notat</vt:lpwstr>
  </property>
  <property fmtid="{D5CDD505-2E9C-101B-9397-08002B2CF9AE}" pid="11" name="ContentRemapped">
    <vt:lpwstr>true</vt:lpwstr>
  </property>
  <property fmtid="{D5CDD505-2E9C-101B-9397-08002B2CF9AE}" pid="12" name="SD_DocumentLanguageString">
    <vt:lpwstr>Dansk</vt:lpwstr>
  </property>
  <property fmtid="{D5CDD505-2E9C-101B-9397-08002B2CF9AE}" pid="13" name="SD_CtlText_Usersettings_Userprofile">
    <vt:lpwstr>Merete Buus WordEngine profil</vt:lpwstr>
  </property>
  <property fmtid="{D5CDD505-2E9C-101B-9397-08002B2CF9AE}" pid="14" name="SD_CtlText_Generelt_CaseNo">
    <vt:lpwstr>17-30411-000005</vt:lpwstr>
  </property>
  <property fmtid="{D5CDD505-2E9C-101B-9397-08002B2CF9AE}" pid="15" name="SD_UserprofileName">
    <vt:lpwstr>Merete Buus WordEngine profil</vt:lpwstr>
  </property>
  <property fmtid="{D5CDD505-2E9C-101B-9397-08002B2CF9AE}" pid="16" name="SD_Office_OFF_ID">
    <vt:lpwstr>91</vt:lpwstr>
  </property>
  <property fmtid="{D5CDD505-2E9C-101B-9397-08002B2CF9AE}" pid="17" name="CurrentOfficeID">
    <vt:lpwstr>91</vt:lpwstr>
  </property>
  <property fmtid="{D5CDD505-2E9C-101B-9397-08002B2CF9AE}" pid="18" name="SD_Office_OFF_Organisation">
    <vt:lpwstr>LFST</vt:lpwstr>
  </property>
  <property fmtid="{D5CDD505-2E9C-101B-9397-08002B2CF9AE}" pid="19" name="SD_Office_OFF_ArtworkDefinition">
    <vt:lpwstr>MFVM</vt:lpwstr>
  </property>
  <property fmtid="{D5CDD505-2E9C-101B-9397-08002B2CF9AE}" pid="20" name="SD_Office_OFF_LogoFileName">
    <vt:lpwstr>LFST</vt:lpwstr>
  </property>
  <property fmtid="{D5CDD505-2E9C-101B-9397-08002B2CF9AE}" pid="21" name="SD_Office_OFF_Institution">
    <vt:lpwstr>Landbrugs- og Fiskeristyrelsen</vt:lpwstr>
  </property>
  <property fmtid="{D5CDD505-2E9C-101B-9397-08002B2CF9AE}" pid="22" name="SD_Office_OFF_Institution_EN">
    <vt:lpwstr>The Danish Agrifish Agency</vt:lpwstr>
  </property>
  <property fmtid="{D5CDD505-2E9C-101B-9397-08002B2CF9AE}" pid="23" name="SD_Office_OFF_kontor">
    <vt:lpwstr>Landbrugs- og Fiskeristyrelsen</vt:lpwstr>
  </property>
  <property fmtid="{D5CDD505-2E9C-101B-9397-08002B2CF9AE}" pid="24" name="SD_Office_OFF_Department">
    <vt:lpwstr/>
  </property>
  <property fmtid="{D5CDD505-2E9C-101B-9397-08002B2CF9AE}" pid="25" name="SD_Office_OFF_Department_EN">
    <vt:lpwstr/>
  </property>
  <property fmtid="{D5CDD505-2E9C-101B-9397-08002B2CF9AE}" pid="26" name="SD_Office_OFF_Footertext">
    <vt:lpwstr/>
  </property>
  <property fmtid="{D5CDD505-2E9C-101B-9397-08002B2CF9AE}" pid="27" name="SD_Office_OFF_AddressA">
    <vt:lpwstr>Nyropsgade 30</vt:lpwstr>
  </property>
  <property fmtid="{D5CDD505-2E9C-101B-9397-08002B2CF9AE}" pid="28" name="SD_Office_OFF_AddressB">
    <vt:lpwstr/>
  </property>
  <property fmtid="{D5CDD505-2E9C-101B-9397-08002B2CF9AE}" pid="29" name="SD_Office_OFF_AddressC">
    <vt:lpwstr/>
  </property>
  <property fmtid="{D5CDD505-2E9C-101B-9397-08002B2CF9AE}" pid="30" name="SD_Office_OFF_AddressCollected">
    <vt:lpwstr>Nyropsgade 30</vt:lpwstr>
  </property>
  <property fmtid="{D5CDD505-2E9C-101B-9397-08002B2CF9AE}" pid="31" name="SD_Office_OFF_AddressD">
    <vt:lpwstr>1780</vt:lpwstr>
  </property>
  <property fmtid="{D5CDD505-2E9C-101B-9397-08002B2CF9AE}" pid="32" name="SD_Office_OFF_City">
    <vt:lpwstr>København V</vt:lpwstr>
  </property>
  <property fmtid="{D5CDD505-2E9C-101B-9397-08002B2CF9AE}" pid="33" name="SD_Office_OFF_City_EN">
    <vt:lpwstr>Copenhagen V Denmark</vt:lpwstr>
  </property>
  <property fmtid="{D5CDD505-2E9C-101B-9397-08002B2CF9AE}" pid="34" name="SD_Office_OFF_Phone">
    <vt:lpwstr>33 95 80 00</vt:lpwstr>
  </property>
  <property fmtid="{D5CDD505-2E9C-101B-9397-08002B2CF9AE}" pid="35" name="SD_Office_OFF_Fax">
    <vt:lpwstr/>
  </property>
  <property fmtid="{D5CDD505-2E9C-101B-9397-08002B2CF9AE}" pid="36" name="SD_Office_OFF_Email">
    <vt:lpwstr>mail@lfst.dk</vt:lpwstr>
  </property>
  <property fmtid="{D5CDD505-2E9C-101B-9397-08002B2CF9AE}" pid="37" name="SD_Office_OFF_Web">
    <vt:lpwstr>www.lfst.dk</vt:lpwstr>
  </property>
  <property fmtid="{D5CDD505-2E9C-101B-9397-08002B2CF9AE}" pid="38" name="SD_Office_OFF_CVR">
    <vt:lpwstr/>
  </property>
  <property fmtid="{D5CDD505-2E9C-101B-9397-08002B2CF9AE}" pid="39" name="SD_Office_OFF_EAN">
    <vt:lpwstr>5798000877955</vt:lpwstr>
  </property>
  <property fmtid="{D5CDD505-2E9C-101B-9397-08002B2CF9AE}" pid="40" name="SD_Office_OFF_ColorTheme">
    <vt:lpwstr>MFVM - NaturErhvervstyrelsen</vt:lpwstr>
  </property>
  <property fmtid="{D5CDD505-2E9C-101B-9397-08002B2CF9AE}" pid="41" name="USR_Name">
    <vt:lpwstr>Merete Buus (LFST)</vt:lpwstr>
  </property>
  <property fmtid="{D5CDD505-2E9C-101B-9397-08002B2CF9AE}" pid="42" name="USR_Initials">
    <vt:lpwstr>MEB</vt:lpwstr>
  </property>
  <property fmtid="{D5CDD505-2E9C-101B-9397-08002B2CF9AE}" pid="43" name="USR_Title">
    <vt:lpwstr>Specialkonsulent</vt:lpwstr>
  </property>
  <property fmtid="{D5CDD505-2E9C-101B-9397-08002B2CF9AE}" pid="44" name="USR_DirectPhone">
    <vt:lpwstr>+45 72 13 95 35</vt:lpwstr>
  </property>
  <property fmtid="{D5CDD505-2E9C-101B-9397-08002B2CF9AE}" pid="45" name="USR_Mobile">
    <vt:lpwstr>+45 45 26 37 20</vt:lpwstr>
  </property>
  <property fmtid="{D5CDD505-2E9C-101B-9397-08002B2CF9AE}" pid="46" name="USR_Email">
    <vt:lpwstr>meb@lfst.dk</vt:lpwstr>
  </property>
  <property fmtid="{D5CDD505-2E9C-101B-9397-08002B2CF9AE}" pid="47" name="DocumentInfoFinished">
    <vt:lpwstr>True</vt:lpwstr>
  </property>
  <property fmtid="{D5CDD505-2E9C-101B-9397-08002B2CF9AE}" pid="48" name="SD_DocumentLanguage">
    <vt:lpwstr>da-DK</vt:lpwstr>
  </property>
  <property fmtid="{D5CDD505-2E9C-101B-9397-08002B2CF9AE}" pid="49" name="sdDocumentDate">
    <vt:lpwstr>43052</vt:lpwstr>
  </property>
  <property fmtid="{D5CDD505-2E9C-101B-9397-08002B2CF9AE}" pid="50" name="sdDocumentDateFormat">
    <vt:lpwstr>da-DK:'Den' d. MMMM yyyy</vt:lpwstr>
  </property>
  <property fmtid="{D5CDD505-2E9C-101B-9397-08002B2CF9AE}" pid="51" name="SD_Office_OFF_Phone_EN">
    <vt:lpwstr>+45 33 95 80 00</vt:lpwstr>
  </property>
  <property fmtid="{D5CDD505-2E9C-101B-9397-08002B2CF9AE}" pid="52" name="SD_Office_OFF_Fax_EN">
    <vt:lpwstr/>
  </property>
  <property fmtid="{D5CDD505-2E9C-101B-9397-08002B2CF9AE}" pid="53" name="SD_Office_OFF_EAN_EN">
    <vt:lpwstr>5798000877955</vt:lpwstr>
  </property>
  <property fmtid="{D5CDD505-2E9C-101B-9397-08002B2CF9AE}" pid="54" name="LastCompletedArtworkDefinition">
    <vt:lpwstr>MFVM</vt:lpwstr>
  </property>
</Properties>
</file>