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7"/>
      </w:tblGrid>
      <w:tr w:rsidR="00D448C2" w:rsidTr="006603CF">
        <w:tc>
          <w:tcPr>
            <w:tcW w:w="4956" w:type="dxa"/>
          </w:tcPr>
          <w:p w:rsidR="00D448C2" w:rsidRPr="00AF6C8E" w:rsidRDefault="00D448C2" w:rsidP="00D448C2">
            <w:pPr>
              <w:spacing w:after="120" w:line="240" w:lineRule="auto"/>
              <w:rPr>
                <w:rFonts w:ascii="Verdana" w:hAnsi="Verdana"/>
                <w:b/>
                <w:szCs w:val="24"/>
              </w:rPr>
            </w:pPr>
            <w:r w:rsidRPr="00AF6C8E">
              <w:rPr>
                <w:rFonts w:ascii="Verdana" w:hAnsi="Verdana"/>
                <w:b/>
                <w:szCs w:val="24"/>
              </w:rPr>
              <w:t>Mi</w:t>
            </w:r>
            <w:r>
              <w:rPr>
                <w:rFonts w:ascii="Verdana" w:hAnsi="Verdana"/>
                <w:b/>
                <w:szCs w:val="24"/>
              </w:rPr>
              <w:t>ljø- og Fødevareministeriet</w:t>
            </w:r>
          </w:p>
          <w:p w:rsidR="00D448C2" w:rsidRPr="00C2562C" w:rsidRDefault="00D448C2" w:rsidP="00965574">
            <w:pPr>
              <w:tabs>
                <w:tab w:val="left" w:pos="6237"/>
              </w:tabs>
              <w:spacing w:line="276" w:lineRule="auto"/>
              <w:rPr>
                <w:rFonts w:ascii="Verdana" w:hAnsi="Verdana"/>
                <w:sz w:val="20"/>
              </w:rPr>
            </w:pPr>
            <w:r>
              <w:rPr>
                <w:rFonts w:ascii="Verdana" w:hAnsi="Verdana"/>
                <w:b/>
                <w:sz w:val="20"/>
              </w:rPr>
              <w:t>NaturErhvervstyrelsen</w:t>
            </w:r>
          </w:p>
          <w:bookmarkStart w:id="0" w:name="sbh_afdeling_"/>
          <w:bookmarkEnd w:id="0"/>
          <w:p w:rsidR="00D448C2" w:rsidRDefault="00BE0683" w:rsidP="004E2445">
            <w:pPr>
              <w:spacing w:line="276" w:lineRule="auto"/>
              <w:rPr>
                <w:rFonts w:ascii="Verdana" w:hAnsi="Verdana"/>
                <w:sz w:val="20"/>
              </w:rPr>
            </w:pPr>
            <w:sdt>
              <w:sdtPr>
                <w:rPr>
                  <w:rFonts w:ascii="Verdana" w:hAnsi="Verdana"/>
                  <w:sz w:val="20"/>
                </w:rPr>
                <w:alias w:val="(Sag) Ansv. enhed (tekst)"/>
                <w:tag w:val="(Sag) Ansv. enhed (tekst)"/>
                <w:id w:val="268818994"/>
                <w:placeholder>
                  <w:docPart w:val="2A8FD1DAAB0D449A923F471DAC91F995"/>
                </w:placeholder>
                <w:dataBinding w:prefixMappings="xmlns:ns0='Captia'" w:xpath="/ns0:Root[1]/ns0:case/ns0:Content[@id='responsible_ou']/ns0:Elab[1]" w:storeItemID="{00000000-0000-0000-0000-000000000000}"/>
                <w15:color w:val="0000FF"/>
                <w:text/>
              </w:sdtPr>
              <w:sdtEndPr/>
              <w:sdtContent>
                <w:r w:rsidR="00D448C2" w:rsidRPr="00D448C2">
                  <w:rPr>
                    <w:rFonts w:ascii="Verdana" w:hAnsi="Verdana"/>
                    <w:sz w:val="20"/>
                  </w:rPr>
                  <w:t>Planter &amp; Landbrugslov</w:t>
                </w:r>
              </w:sdtContent>
            </w:sdt>
            <w:r w:rsidR="00D448C2" w:rsidRPr="00507129">
              <w:rPr>
                <w:rFonts w:ascii="Verdana" w:hAnsi="Verdana"/>
                <w:sz w:val="20"/>
              </w:rPr>
              <w:t>/</w:t>
            </w:r>
            <w:bookmarkStart w:id="1" w:name="sagsbeh3__"/>
            <w:bookmarkEnd w:id="1"/>
            <w:sdt>
              <w:sdtPr>
                <w:rPr>
                  <w:rFonts w:ascii="Verdana" w:hAnsi="Verdana"/>
                  <w:sz w:val="20"/>
                </w:rPr>
                <w:alias w:val="(Sag, Sagsbehandler) Navn 1"/>
                <w:tag w:val="(Sag, Sagsbehandler) Navn 1"/>
                <w:id w:val="1083025347"/>
                <w:placeholder>
                  <w:docPart w:val="68692F113F2B4425B31FEEE2823B7F12"/>
                </w:placeholder>
                <w:dataBinding w:prefixMappings="xmlns:ns0='Captia'" w:xpath="/ns0:Root[1]/ns0:case/ns0:officer/ns0:Content[@id='name1']/ns0:Value[1]" w:storeItemID="{00000000-0000-0000-0000-000000000000}"/>
                <w15:color w:val="0000FF"/>
                <w:text/>
              </w:sdtPr>
              <w:sdtEndPr/>
              <w:sdtContent>
                <w:r w:rsidR="00D448C2" w:rsidRPr="00D448C2">
                  <w:rPr>
                    <w:rFonts w:ascii="Verdana" w:hAnsi="Verdana"/>
                    <w:sz w:val="20"/>
                  </w:rPr>
                  <w:t>MEB</w:t>
                </w:r>
              </w:sdtContent>
            </w:sdt>
            <w:r w:rsidR="00D448C2" w:rsidRPr="00507129">
              <w:rPr>
                <w:rFonts w:ascii="Verdana" w:hAnsi="Verdana"/>
                <w:sz w:val="20"/>
              </w:rPr>
              <w:br/>
            </w:r>
            <w:r w:rsidR="008454C8">
              <w:rPr>
                <w:rFonts w:ascii="Verdana" w:hAnsi="Verdana"/>
                <w:sz w:val="20"/>
              </w:rPr>
              <w:t>Journal</w:t>
            </w:r>
            <w:r w:rsidR="00D448C2" w:rsidRPr="00965574">
              <w:rPr>
                <w:rFonts w:ascii="Verdana" w:hAnsi="Verdana"/>
                <w:sz w:val="20"/>
              </w:rPr>
              <w:t>n</w:t>
            </w:r>
            <w:r w:rsidR="00FF630D">
              <w:rPr>
                <w:rFonts w:ascii="Verdana" w:hAnsi="Verdana"/>
                <w:sz w:val="20"/>
              </w:rPr>
              <w:t>ummer</w:t>
            </w:r>
            <w:r w:rsidR="00D448C2" w:rsidRPr="00965574">
              <w:rPr>
                <w:rFonts w:ascii="Verdana" w:hAnsi="Verdana"/>
                <w:sz w:val="20"/>
              </w:rPr>
              <w:t xml:space="preserve">: </w:t>
            </w:r>
            <w:bookmarkStart w:id="2" w:name="sagsnr"/>
            <w:bookmarkEnd w:id="2"/>
            <w:sdt>
              <w:sdtPr>
                <w:rPr>
                  <w:rFonts w:ascii="Verdana" w:hAnsi="Verdana"/>
                  <w:sz w:val="20"/>
                </w:rPr>
                <w:alias w:val="(Sag) Sagsnr."/>
                <w:tag w:val="(Sag) Sagsnr."/>
                <w:id w:val="-814015364"/>
                <w:placeholder>
                  <w:docPart w:val="2A3CF9A82E764E2CB423596D3C96EBB8"/>
                </w:placeholder>
                <w:dataBinding w:prefixMappings="xmlns:ns0='Captia'" w:xpath="/ns0:Root[1]/ns0:case/ns0:Content[@id='file_no']/ns0:Value[1]" w:storeItemID="{00000000-0000-0000-0000-000000000000}"/>
                <w15:color w:val="0000FF"/>
                <w:text/>
              </w:sdtPr>
              <w:sdtEndPr/>
              <w:sdtContent>
                <w:r w:rsidR="00D448C2" w:rsidRPr="00AC2BD9">
                  <w:rPr>
                    <w:rFonts w:ascii="Verdana" w:hAnsi="Verdana"/>
                    <w:sz w:val="20"/>
                  </w:rPr>
                  <w:t>15-3042-000006</w:t>
                </w:r>
              </w:sdtContent>
            </w:sdt>
            <w:r w:rsidR="00D448C2" w:rsidRPr="00965574">
              <w:rPr>
                <w:rFonts w:ascii="Verdana" w:hAnsi="Verdana"/>
                <w:sz w:val="20"/>
              </w:rPr>
              <w:br/>
              <w:t xml:space="preserve">Dato: </w:t>
            </w:r>
            <w:bookmarkStart w:id="3" w:name="dagsdato_dk"/>
            <w:bookmarkEnd w:id="3"/>
            <w:r w:rsidR="004E2445">
              <w:rPr>
                <w:rFonts w:ascii="Verdana" w:hAnsi="Verdana"/>
                <w:sz w:val="20"/>
              </w:rPr>
              <w:t>20</w:t>
            </w:r>
            <w:r w:rsidR="00AC2BD9">
              <w:rPr>
                <w:rFonts w:ascii="Verdana" w:hAnsi="Verdana"/>
                <w:sz w:val="20"/>
              </w:rPr>
              <w:t>. november 2015</w:t>
            </w:r>
          </w:p>
        </w:tc>
        <w:tc>
          <w:tcPr>
            <w:tcW w:w="4967" w:type="dxa"/>
          </w:tcPr>
          <w:p w:rsidR="00D448C2" w:rsidRDefault="00D448C2" w:rsidP="00D448C2">
            <w:pPr>
              <w:jc w:val="right"/>
              <w:rPr>
                <w:rFonts w:ascii="Verdana" w:hAnsi="Verdana"/>
                <w:sz w:val="20"/>
              </w:rPr>
            </w:pPr>
          </w:p>
          <w:p w:rsidR="00D448C2" w:rsidRDefault="00D448C2" w:rsidP="00D448C2">
            <w:pPr>
              <w:jc w:val="right"/>
              <w:rPr>
                <w:rFonts w:ascii="Verdana" w:hAnsi="Verdana"/>
                <w:sz w:val="20"/>
              </w:rPr>
            </w:pPr>
          </w:p>
          <w:p w:rsidR="00D448C2" w:rsidRDefault="00D448C2" w:rsidP="00965574">
            <w:pPr>
              <w:spacing w:line="276" w:lineRule="auto"/>
              <w:jc w:val="right"/>
              <w:rPr>
                <w:rFonts w:ascii="Verdana" w:hAnsi="Verdana"/>
                <w:sz w:val="20"/>
              </w:rPr>
            </w:pPr>
            <w:r>
              <w:rPr>
                <w:rFonts w:ascii="Verdana" w:hAnsi="Verdana"/>
                <w:sz w:val="20"/>
              </w:rPr>
              <w:t>Møde i Udvalget for Plantesorter og Udsæd</w:t>
            </w:r>
          </w:p>
          <w:p w:rsidR="00D448C2" w:rsidRDefault="0061212E" w:rsidP="00965574">
            <w:pPr>
              <w:spacing w:line="276" w:lineRule="auto"/>
              <w:jc w:val="right"/>
              <w:rPr>
                <w:rFonts w:ascii="Verdana" w:hAnsi="Verdana"/>
                <w:sz w:val="20"/>
              </w:rPr>
            </w:pPr>
            <w:r>
              <w:rPr>
                <w:rFonts w:ascii="Verdana" w:hAnsi="Verdana"/>
                <w:sz w:val="20"/>
              </w:rPr>
              <w:t>Den</w:t>
            </w:r>
            <w:r w:rsidR="00D448C2">
              <w:rPr>
                <w:rFonts w:ascii="Verdana" w:hAnsi="Verdana"/>
                <w:sz w:val="20"/>
              </w:rPr>
              <w:t xml:space="preserve"> </w:t>
            </w:r>
            <w:r w:rsidR="005E7F50">
              <w:rPr>
                <w:rFonts w:ascii="Verdana" w:hAnsi="Verdana"/>
                <w:sz w:val="20"/>
              </w:rPr>
              <w:t>26. november</w:t>
            </w:r>
            <w:r w:rsidR="00D448C2">
              <w:rPr>
                <w:rFonts w:ascii="Verdana" w:hAnsi="Verdana"/>
                <w:sz w:val="20"/>
              </w:rPr>
              <w:t xml:space="preserve"> 2015</w:t>
            </w:r>
          </w:p>
          <w:p w:rsidR="00D448C2" w:rsidRDefault="00D448C2" w:rsidP="00D831CE">
            <w:pPr>
              <w:spacing w:line="276" w:lineRule="auto"/>
              <w:jc w:val="right"/>
              <w:rPr>
                <w:rFonts w:ascii="Verdana" w:hAnsi="Verdana"/>
                <w:sz w:val="20"/>
              </w:rPr>
            </w:pPr>
            <w:r>
              <w:rPr>
                <w:rFonts w:ascii="Verdana" w:hAnsi="Verdana"/>
                <w:b/>
                <w:sz w:val="20"/>
              </w:rPr>
              <w:t>Bilag 42-</w:t>
            </w:r>
            <w:r w:rsidR="00D831CE">
              <w:rPr>
                <w:rFonts w:ascii="Verdana" w:hAnsi="Verdana"/>
                <w:b/>
                <w:sz w:val="20"/>
              </w:rPr>
              <w:t>8</w:t>
            </w:r>
            <w:r w:rsidR="00E729B7">
              <w:rPr>
                <w:rFonts w:ascii="Verdana" w:hAnsi="Verdana"/>
                <w:b/>
                <w:sz w:val="20"/>
              </w:rPr>
              <w:t>-</w:t>
            </w:r>
            <w:r>
              <w:rPr>
                <w:rFonts w:ascii="Verdana" w:hAnsi="Verdana"/>
                <w:b/>
                <w:sz w:val="20"/>
              </w:rPr>
              <w:t>B</w:t>
            </w:r>
          </w:p>
        </w:tc>
      </w:tr>
    </w:tbl>
    <w:p w:rsidR="00891001" w:rsidRPr="00AF6C8E" w:rsidRDefault="00891001" w:rsidP="001643B7">
      <w:pPr>
        <w:spacing w:after="120" w:line="360" w:lineRule="auto"/>
        <w:rPr>
          <w:rFonts w:ascii="Verdana" w:hAnsi="Verdana"/>
          <w:sz w:val="20"/>
        </w:rPr>
      </w:pPr>
    </w:p>
    <w:p w:rsidR="00891001" w:rsidRPr="00AF6C8E" w:rsidRDefault="00891001" w:rsidP="001643B7">
      <w:pPr>
        <w:spacing w:after="120" w:line="360" w:lineRule="auto"/>
        <w:rPr>
          <w:rFonts w:ascii="Verdana" w:hAnsi="Verdana"/>
          <w:sz w:val="20"/>
        </w:rPr>
      </w:pPr>
    </w:p>
    <w:p w:rsidR="00891001" w:rsidRPr="00507129" w:rsidRDefault="00333B4B" w:rsidP="0064552F">
      <w:pPr>
        <w:spacing w:after="120"/>
        <w:rPr>
          <w:rFonts w:ascii="Verdana" w:hAnsi="Verdana"/>
          <w:sz w:val="20"/>
        </w:rPr>
      </w:pPr>
      <w:r>
        <w:rPr>
          <w:rFonts w:ascii="Verdana" w:hAnsi="Verdana"/>
          <w:b/>
          <w:sz w:val="20"/>
        </w:rPr>
        <w:t>Mulige nye regler og f</w:t>
      </w:r>
      <w:r w:rsidR="00643196">
        <w:rPr>
          <w:rFonts w:ascii="Verdana" w:hAnsi="Verdana"/>
          <w:b/>
          <w:sz w:val="20"/>
        </w:rPr>
        <w:t>okusområder</w:t>
      </w:r>
      <w:r>
        <w:rPr>
          <w:rFonts w:ascii="Verdana" w:hAnsi="Verdana"/>
          <w:b/>
          <w:sz w:val="20"/>
        </w:rPr>
        <w:t xml:space="preserve">  </w:t>
      </w:r>
    </w:p>
    <w:p w:rsidR="00891001" w:rsidRPr="00507129" w:rsidRDefault="00891001" w:rsidP="0064552F">
      <w:pPr>
        <w:spacing w:after="120"/>
        <w:rPr>
          <w:rFonts w:ascii="Verdana" w:hAnsi="Verdana"/>
          <w:sz w:val="20"/>
        </w:rPr>
      </w:pPr>
    </w:p>
    <w:p w:rsidR="00DF6C9D" w:rsidRPr="00AF6C8E" w:rsidRDefault="00DF6C9D" w:rsidP="0064552F">
      <w:pPr>
        <w:spacing w:after="120"/>
        <w:rPr>
          <w:rFonts w:ascii="Verdana" w:hAnsi="Verdana"/>
          <w:sz w:val="20"/>
        </w:rPr>
      </w:pPr>
    </w:p>
    <w:p w:rsidR="00643196" w:rsidRDefault="00B90B3E" w:rsidP="00251F24">
      <w:pPr>
        <w:spacing w:after="120"/>
        <w:rPr>
          <w:rFonts w:ascii="Verdana" w:hAnsi="Verdana"/>
          <w:sz w:val="20"/>
        </w:rPr>
      </w:pPr>
      <w:r w:rsidRPr="00AF6C8E">
        <w:rPr>
          <w:rFonts w:ascii="Verdana" w:hAnsi="Verdana"/>
          <w:b/>
          <w:sz w:val="20"/>
        </w:rPr>
        <w:t>Problem</w:t>
      </w:r>
      <w:r w:rsidR="00AF6C8E" w:rsidRPr="00AF6C8E">
        <w:rPr>
          <w:rFonts w:ascii="Verdana" w:hAnsi="Verdana"/>
          <w:b/>
          <w:sz w:val="20"/>
        </w:rPr>
        <w:t>stilling</w:t>
      </w:r>
      <w:r w:rsidR="00507129" w:rsidRPr="00507129">
        <w:rPr>
          <w:rFonts w:ascii="Verdana" w:hAnsi="Verdana"/>
          <w:sz w:val="20"/>
        </w:rPr>
        <w:t xml:space="preserve"> </w:t>
      </w:r>
    </w:p>
    <w:p w:rsidR="00B90B3E" w:rsidRPr="00507129" w:rsidRDefault="00333B4B" w:rsidP="00251F24">
      <w:pPr>
        <w:spacing w:after="120"/>
        <w:rPr>
          <w:rFonts w:ascii="Verdana" w:hAnsi="Verdana"/>
          <w:sz w:val="20"/>
        </w:rPr>
      </w:pPr>
      <w:r>
        <w:rPr>
          <w:rFonts w:ascii="Verdana" w:hAnsi="Verdana"/>
          <w:sz w:val="20"/>
        </w:rPr>
        <w:t xml:space="preserve">Vi </w:t>
      </w:r>
      <w:r w:rsidR="00DA3F36">
        <w:rPr>
          <w:rFonts w:ascii="Verdana" w:hAnsi="Verdana"/>
          <w:sz w:val="20"/>
        </w:rPr>
        <w:t xml:space="preserve">har identificeret enkelte områder, hvor der kan være behov for at overveje eller præcisere reglerne, samt nye fokusområder for kontrol. Det drejer sig </w:t>
      </w:r>
      <w:r w:rsidR="00316C0B">
        <w:rPr>
          <w:rFonts w:ascii="Verdana" w:hAnsi="Verdana"/>
          <w:sz w:val="20"/>
        </w:rPr>
        <w:t xml:space="preserve">om </w:t>
      </w:r>
      <w:r w:rsidR="00DD34E9">
        <w:rPr>
          <w:rFonts w:ascii="Verdana" w:hAnsi="Verdana"/>
          <w:sz w:val="20"/>
        </w:rPr>
        <w:t xml:space="preserve">hybrider af byg, vikkearter, plantepas, </w:t>
      </w:r>
      <w:r w:rsidR="004A31DE">
        <w:rPr>
          <w:rFonts w:ascii="Verdana" w:hAnsi="Verdana"/>
          <w:sz w:val="20"/>
        </w:rPr>
        <w:t xml:space="preserve">fund af </w:t>
      </w:r>
      <w:r w:rsidR="00DA3F36">
        <w:rPr>
          <w:rFonts w:ascii="Verdana" w:hAnsi="Verdana"/>
          <w:sz w:val="20"/>
        </w:rPr>
        <w:t>ager-rævehale</w:t>
      </w:r>
      <w:r w:rsidR="0064046A">
        <w:rPr>
          <w:rFonts w:ascii="Verdana" w:hAnsi="Verdana"/>
          <w:sz w:val="20"/>
        </w:rPr>
        <w:t xml:space="preserve"> i rajgræsarter</w:t>
      </w:r>
      <w:r w:rsidR="00DA3F36">
        <w:rPr>
          <w:rFonts w:ascii="Verdana" w:hAnsi="Verdana"/>
          <w:sz w:val="20"/>
        </w:rPr>
        <w:t xml:space="preserve">, </w:t>
      </w:r>
      <w:r w:rsidR="00E41563">
        <w:rPr>
          <w:rFonts w:ascii="Verdana" w:hAnsi="Verdana"/>
          <w:sz w:val="20"/>
        </w:rPr>
        <w:t xml:space="preserve">anmeldelser til avlskontrol og </w:t>
      </w:r>
      <w:r w:rsidR="0064552F">
        <w:rPr>
          <w:rFonts w:ascii="Verdana" w:hAnsi="Verdana"/>
          <w:sz w:val="20"/>
        </w:rPr>
        <w:t xml:space="preserve">certificering af </w:t>
      </w:r>
      <w:r w:rsidR="000E7E13">
        <w:rPr>
          <w:rFonts w:ascii="Verdana" w:hAnsi="Verdana"/>
          <w:sz w:val="20"/>
        </w:rPr>
        <w:t>frø</w:t>
      </w:r>
      <w:r w:rsidR="00DA3F36">
        <w:rPr>
          <w:rFonts w:ascii="Verdana" w:hAnsi="Verdana"/>
          <w:sz w:val="20"/>
        </w:rPr>
        <w:t>blandinger. Udvalget for Plantesorter og Udsæd</w:t>
      </w:r>
      <w:bookmarkStart w:id="4" w:name="_GoBack"/>
      <w:bookmarkEnd w:id="4"/>
      <w:r w:rsidR="00DA3F36">
        <w:rPr>
          <w:rFonts w:ascii="Verdana" w:hAnsi="Verdana"/>
          <w:sz w:val="20"/>
        </w:rPr>
        <w:t xml:space="preserve"> </w:t>
      </w:r>
      <w:r w:rsidR="00484961">
        <w:rPr>
          <w:rFonts w:ascii="Verdana" w:hAnsi="Verdana"/>
          <w:sz w:val="20"/>
        </w:rPr>
        <w:t xml:space="preserve">har mulighed for at give bemærkninger </w:t>
      </w:r>
      <w:r w:rsidR="00DA3F36">
        <w:rPr>
          <w:rFonts w:ascii="Verdana" w:hAnsi="Verdana"/>
          <w:sz w:val="20"/>
        </w:rPr>
        <w:t>til eventuelle behov for nye regler og fokusområder.</w:t>
      </w:r>
      <w:r w:rsidR="004A31DE">
        <w:rPr>
          <w:rFonts w:ascii="Verdana" w:hAnsi="Verdana"/>
          <w:sz w:val="20"/>
        </w:rPr>
        <w:t xml:space="preserve"> </w:t>
      </w:r>
    </w:p>
    <w:p w:rsidR="00AC270C" w:rsidRPr="00AF6C8E" w:rsidRDefault="00AC270C" w:rsidP="00251F24">
      <w:pPr>
        <w:spacing w:after="120"/>
        <w:rPr>
          <w:rFonts w:ascii="Verdana" w:hAnsi="Verdana"/>
          <w:sz w:val="20"/>
        </w:rPr>
      </w:pPr>
    </w:p>
    <w:p w:rsidR="00AC270C" w:rsidRPr="00507129" w:rsidRDefault="00AC270C" w:rsidP="00251F24">
      <w:pPr>
        <w:spacing w:after="120"/>
        <w:rPr>
          <w:rFonts w:ascii="Verdana" w:hAnsi="Verdana"/>
          <w:sz w:val="20"/>
        </w:rPr>
      </w:pPr>
      <w:r w:rsidRPr="00AF6C8E">
        <w:rPr>
          <w:rFonts w:ascii="Verdana" w:hAnsi="Verdana"/>
          <w:b/>
          <w:sz w:val="20"/>
        </w:rPr>
        <w:t>Baggrund</w:t>
      </w:r>
      <w:r w:rsidR="00507129" w:rsidRPr="00507129">
        <w:rPr>
          <w:rFonts w:ascii="Verdana" w:hAnsi="Verdana"/>
          <w:sz w:val="20"/>
        </w:rPr>
        <w:t xml:space="preserve"> </w:t>
      </w:r>
    </w:p>
    <w:p w:rsidR="00DD34E9" w:rsidRPr="00390B63" w:rsidRDefault="00DD34E9" w:rsidP="00DD34E9">
      <w:pPr>
        <w:pStyle w:val="Listeafsnit"/>
        <w:numPr>
          <w:ilvl w:val="0"/>
          <w:numId w:val="7"/>
        </w:numPr>
        <w:spacing w:after="120"/>
        <w:rPr>
          <w:rFonts w:ascii="Verdana" w:hAnsi="Verdana"/>
          <w:sz w:val="20"/>
        </w:rPr>
      </w:pPr>
      <w:r>
        <w:rPr>
          <w:rFonts w:ascii="Verdana" w:hAnsi="Verdana"/>
          <w:sz w:val="20"/>
          <w:u w:val="single"/>
        </w:rPr>
        <w:t>Hybrider af byg</w:t>
      </w:r>
    </w:p>
    <w:p w:rsidR="00DD34E9" w:rsidRPr="00DD34E9" w:rsidRDefault="00DD34E9" w:rsidP="00DD34E9">
      <w:pPr>
        <w:spacing w:after="120"/>
        <w:rPr>
          <w:rFonts w:ascii="Verdana" w:hAnsi="Verdana"/>
          <w:sz w:val="20"/>
        </w:rPr>
      </w:pPr>
      <w:r w:rsidRPr="00DD34E9">
        <w:rPr>
          <w:rFonts w:ascii="Verdana" w:hAnsi="Verdana"/>
          <w:sz w:val="20"/>
        </w:rPr>
        <w:t xml:space="preserve">Kommissionens gennemførelsesdirektiv (EU) 2015/1955 af 29. oktober 2015 om ændring af bilag I og II til Rådets direktiv 66/402/EØF om handel med sædekorn ændrer normerne for hybrider af byg. Den stigende dyrkning af hybrider af byg fremstillet ved </w:t>
      </w:r>
      <w:proofErr w:type="spellStart"/>
      <w:r w:rsidRPr="00DD34E9">
        <w:rPr>
          <w:rFonts w:ascii="Verdana" w:hAnsi="Verdana"/>
          <w:sz w:val="20"/>
        </w:rPr>
        <w:t>cytoplasmatisk</w:t>
      </w:r>
      <w:proofErr w:type="spellEnd"/>
      <w:r w:rsidRPr="00DD34E9">
        <w:rPr>
          <w:rFonts w:ascii="Verdana" w:hAnsi="Verdana"/>
          <w:sz w:val="20"/>
        </w:rPr>
        <w:t xml:space="preserve"> hanlig sterilitet (CMS) har medført behov for fastsættelse af særlige normer. Normerne ligner de betingelser, der gælder for hybridrug</w:t>
      </w:r>
      <w:r>
        <w:rPr>
          <w:rFonts w:ascii="Verdana" w:hAnsi="Verdana"/>
          <w:sz w:val="20"/>
        </w:rPr>
        <w:t>,</w:t>
      </w:r>
      <w:r w:rsidRPr="00DD34E9">
        <w:rPr>
          <w:rFonts w:ascii="Verdana" w:hAnsi="Verdana"/>
          <w:sz w:val="20"/>
        </w:rPr>
        <w:t xml:space="preserve"> på grund af de tekniske ligheder med denne produktion og behov hos brugerne af hybridbyg. Direktivet skal gennemføres i den danske sædekornsbekendtgørelse senest 1. juli 2016.</w:t>
      </w:r>
    </w:p>
    <w:p w:rsidR="00DD34E9" w:rsidRPr="00390B63" w:rsidRDefault="00DD34E9" w:rsidP="00DD34E9">
      <w:pPr>
        <w:pStyle w:val="Listeafsnit"/>
        <w:numPr>
          <w:ilvl w:val="0"/>
          <w:numId w:val="7"/>
        </w:numPr>
        <w:spacing w:after="120"/>
        <w:rPr>
          <w:rFonts w:ascii="Verdana" w:hAnsi="Verdana"/>
          <w:sz w:val="20"/>
        </w:rPr>
      </w:pPr>
      <w:r>
        <w:rPr>
          <w:rFonts w:ascii="Verdana" w:hAnsi="Verdana"/>
          <w:sz w:val="20"/>
          <w:u w:val="single"/>
        </w:rPr>
        <w:t>Vikkearter</w:t>
      </w:r>
    </w:p>
    <w:p w:rsidR="00DD34E9" w:rsidRPr="00DD34E9" w:rsidRDefault="00DD34E9" w:rsidP="00DD34E9">
      <w:pPr>
        <w:spacing w:after="120"/>
        <w:rPr>
          <w:rFonts w:ascii="Verdana" w:hAnsi="Verdana"/>
          <w:sz w:val="20"/>
        </w:rPr>
      </w:pPr>
      <w:r w:rsidRPr="00DD34E9">
        <w:rPr>
          <w:rFonts w:ascii="Verdana" w:hAnsi="Verdana"/>
          <w:sz w:val="20"/>
        </w:rPr>
        <w:t xml:space="preserve">Markedsdirektivet om foderplanter giver mulighed for certificering af ungarsk vikke og fodervikke som C2. Denne mulighed er ved en fejl ikke gennemført i den danske </w:t>
      </w:r>
      <w:proofErr w:type="spellStart"/>
      <w:r w:rsidRPr="00DD34E9">
        <w:rPr>
          <w:rFonts w:ascii="Verdana" w:hAnsi="Verdana"/>
          <w:sz w:val="20"/>
        </w:rPr>
        <w:t>markfrøbekendtgørelse</w:t>
      </w:r>
      <w:proofErr w:type="spellEnd"/>
      <w:r w:rsidRPr="00DD34E9">
        <w:rPr>
          <w:rFonts w:ascii="Verdana" w:hAnsi="Verdana"/>
          <w:sz w:val="20"/>
        </w:rPr>
        <w:t xml:space="preserve">. </w:t>
      </w:r>
      <w:r>
        <w:rPr>
          <w:rFonts w:ascii="Verdana" w:hAnsi="Verdana"/>
          <w:sz w:val="20"/>
        </w:rPr>
        <w:t>Vi overvejer at medtage rettelsen</w:t>
      </w:r>
      <w:r w:rsidRPr="00DD34E9">
        <w:rPr>
          <w:rFonts w:ascii="Verdana" w:hAnsi="Verdana"/>
          <w:sz w:val="20"/>
        </w:rPr>
        <w:t xml:space="preserve"> ved revision af bekendtgørelserne 1. juli 2016.</w:t>
      </w:r>
    </w:p>
    <w:p w:rsidR="00DD34E9" w:rsidRPr="00FB6A2A" w:rsidRDefault="00DD34E9" w:rsidP="00DD34E9">
      <w:pPr>
        <w:pStyle w:val="Listeafsnit"/>
        <w:numPr>
          <w:ilvl w:val="0"/>
          <w:numId w:val="7"/>
        </w:numPr>
        <w:spacing w:after="120"/>
        <w:rPr>
          <w:rFonts w:ascii="Verdana" w:hAnsi="Verdana"/>
          <w:sz w:val="20"/>
        </w:rPr>
      </w:pPr>
      <w:r>
        <w:rPr>
          <w:rFonts w:ascii="Verdana" w:hAnsi="Verdana"/>
          <w:sz w:val="20"/>
          <w:u w:val="single"/>
        </w:rPr>
        <w:t>Plantepas</w:t>
      </w:r>
    </w:p>
    <w:p w:rsidR="00DD34E9" w:rsidRPr="00DD34E9" w:rsidRDefault="00DD34E9" w:rsidP="00DD34E9">
      <w:pPr>
        <w:spacing w:after="120"/>
        <w:rPr>
          <w:rFonts w:ascii="Verdana" w:hAnsi="Verdana"/>
          <w:sz w:val="20"/>
        </w:rPr>
      </w:pPr>
      <w:r w:rsidRPr="00DD34E9">
        <w:rPr>
          <w:rFonts w:ascii="Verdana" w:hAnsi="Verdana"/>
          <w:sz w:val="20"/>
        </w:rPr>
        <w:t xml:space="preserve">I forbindelse med en gennemgang af plantesundhedskravene til lucerne har der været behov for en præcisering af kravene i bekendtgørelsen for markfrø. </w:t>
      </w:r>
      <w:r>
        <w:rPr>
          <w:rFonts w:ascii="Verdana" w:hAnsi="Verdana"/>
          <w:sz w:val="20"/>
        </w:rPr>
        <w:t>Vi overvejer at medtage rettelsen</w:t>
      </w:r>
      <w:r w:rsidRPr="00DD34E9">
        <w:rPr>
          <w:rFonts w:ascii="Verdana" w:hAnsi="Verdana"/>
          <w:sz w:val="20"/>
        </w:rPr>
        <w:t xml:space="preserve"> ved revision af bekendtgørelserne 1. juli 2016.</w:t>
      </w:r>
      <w:r>
        <w:rPr>
          <w:rFonts w:ascii="Verdana" w:hAnsi="Verdana"/>
          <w:sz w:val="20"/>
        </w:rPr>
        <w:t xml:space="preserve"> </w:t>
      </w:r>
      <w:r w:rsidRPr="00DD34E9">
        <w:rPr>
          <w:rFonts w:ascii="Verdana" w:hAnsi="Verdana"/>
          <w:sz w:val="20"/>
        </w:rPr>
        <w:t xml:space="preserve">Vi vil også </w:t>
      </w:r>
      <w:r>
        <w:rPr>
          <w:rFonts w:ascii="Verdana" w:hAnsi="Verdana"/>
          <w:sz w:val="20"/>
        </w:rPr>
        <w:t>samtidig</w:t>
      </w:r>
      <w:r w:rsidRPr="00DD34E9">
        <w:rPr>
          <w:rFonts w:ascii="Verdana" w:hAnsi="Verdana"/>
          <w:sz w:val="20"/>
        </w:rPr>
        <w:t xml:space="preserve"> se på mulige behov for ændring af sædekorns- og </w:t>
      </w:r>
      <w:proofErr w:type="spellStart"/>
      <w:r w:rsidRPr="00DD34E9">
        <w:rPr>
          <w:rFonts w:ascii="Verdana" w:hAnsi="Verdana"/>
          <w:sz w:val="20"/>
        </w:rPr>
        <w:t>grønsagsfrøbekendtgørelserne</w:t>
      </w:r>
      <w:proofErr w:type="spellEnd"/>
      <w:r w:rsidRPr="00DD34E9">
        <w:rPr>
          <w:rFonts w:ascii="Verdana" w:hAnsi="Verdana"/>
          <w:sz w:val="20"/>
        </w:rPr>
        <w:t xml:space="preserve"> også.</w:t>
      </w:r>
    </w:p>
    <w:p w:rsidR="00E729B7" w:rsidRDefault="00316C0B" w:rsidP="00DD34E9">
      <w:pPr>
        <w:pStyle w:val="Listeafsnit"/>
        <w:numPr>
          <w:ilvl w:val="0"/>
          <w:numId w:val="7"/>
        </w:numPr>
        <w:spacing w:after="120"/>
        <w:rPr>
          <w:rFonts w:ascii="Verdana" w:hAnsi="Verdana"/>
          <w:sz w:val="20"/>
        </w:rPr>
      </w:pPr>
      <w:r>
        <w:rPr>
          <w:rFonts w:ascii="Verdana" w:hAnsi="Verdana"/>
          <w:sz w:val="20"/>
          <w:u w:val="single"/>
        </w:rPr>
        <w:t>Ager-rævehale</w:t>
      </w:r>
    </w:p>
    <w:p w:rsidR="0064552F" w:rsidRDefault="00BD633D" w:rsidP="00251F24">
      <w:pPr>
        <w:pStyle w:val="Listeafsnit"/>
        <w:spacing w:after="120"/>
        <w:ind w:left="0"/>
        <w:rPr>
          <w:rFonts w:ascii="Verdana" w:hAnsi="Verdana"/>
          <w:sz w:val="20"/>
        </w:rPr>
      </w:pPr>
      <w:r>
        <w:rPr>
          <w:rFonts w:ascii="Verdana" w:hAnsi="Verdana"/>
          <w:sz w:val="20"/>
        </w:rPr>
        <w:t xml:space="preserve">Canada </w:t>
      </w:r>
      <w:r w:rsidR="00FB71E9">
        <w:rPr>
          <w:rFonts w:ascii="Verdana" w:hAnsi="Verdana"/>
          <w:sz w:val="20"/>
        </w:rPr>
        <w:t xml:space="preserve">har annonceret, at de vil </w:t>
      </w:r>
      <w:r w:rsidR="00017357">
        <w:rPr>
          <w:rFonts w:ascii="Verdana" w:hAnsi="Verdana"/>
          <w:sz w:val="20"/>
        </w:rPr>
        <w:t>indføre</w:t>
      </w:r>
      <w:r>
        <w:rPr>
          <w:rFonts w:ascii="Verdana" w:hAnsi="Verdana"/>
          <w:sz w:val="20"/>
        </w:rPr>
        <w:t xml:space="preserve"> </w:t>
      </w:r>
      <w:r w:rsidR="00017357">
        <w:rPr>
          <w:rFonts w:ascii="Verdana" w:hAnsi="Verdana"/>
          <w:sz w:val="20"/>
        </w:rPr>
        <w:t xml:space="preserve">nultolerance </w:t>
      </w:r>
      <w:r>
        <w:rPr>
          <w:rFonts w:ascii="Verdana" w:hAnsi="Verdana"/>
          <w:sz w:val="20"/>
        </w:rPr>
        <w:t>for indhold af ager-rævehale</w:t>
      </w:r>
      <w:r w:rsidR="00FB71E9">
        <w:rPr>
          <w:rFonts w:ascii="Verdana" w:hAnsi="Verdana"/>
          <w:sz w:val="20"/>
        </w:rPr>
        <w:t xml:space="preserve"> i rajgræs</w:t>
      </w:r>
      <w:r w:rsidR="00017357">
        <w:rPr>
          <w:rFonts w:ascii="Verdana" w:hAnsi="Verdana"/>
          <w:sz w:val="20"/>
        </w:rPr>
        <w:t xml:space="preserve">. Vores indtryk er, at virksomhederne allerede er opmærksomme på dette. Canada har spurgt til problemets omfang i Danmark, og vi er i dialog med virksomhederne om registrerede fund i udsæd. </w:t>
      </w:r>
      <w:r w:rsidR="001C1437">
        <w:rPr>
          <w:rFonts w:ascii="Verdana" w:hAnsi="Verdana"/>
          <w:sz w:val="20"/>
        </w:rPr>
        <w:t xml:space="preserve">Desuden har en markkontrollør i en landøkonomisk forening i forbindelse med dette års avlskontrol givet udtryk for, at </w:t>
      </w:r>
      <w:r w:rsidR="00AB6C36">
        <w:rPr>
          <w:rFonts w:ascii="Verdana" w:hAnsi="Verdana"/>
          <w:sz w:val="20"/>
        </w:rPr>
        <w:t>ager-rævehale</w:t>
      </w:r>
      <w:r w:rsidR="001C1437">
        <w:rPr>
          <w:rFonts w:ascii="Verdana" w:hAnsi="Verdana"/>
          <w:sz w:val="20"/>
        </w:rPr>
        <w:t xml:space="preserve"> er en art, der er vanskelig at bekæmpe og rense fra udsæden.</w:t>
      </w:r>
    </w:p>
    <w:p w:rsidR="008E58D2" w:rsidRDefault="008E58D2" w:rsidP="00251F24">
      <w:pPr>
        <w:pStyle w:val="Listeafsnit"/>
        <w:spacing w:after="120"/>
        <w:ind w:left="0"/>
        <w:rPr>
          <w:rFonts w:ascii="Verdana" w:hAnsi="Verdana"/>
          <w:sz w:val="20"/>
        </w:rPr>
      </w:pPr>
    </w:p>
    <w:p w:rsidR="00017357" w:rsidRPr="008E58D2" w:rsidRDefault="001C1437" w:rsidP="00251F24">
      <w:pPr>
        <w:pStyle w:val="Listeafsnit"/>
        <w:spacing w:after="120"/>
        <w:ind w:left="0"/>
        <w:rPr>
          <w:rFonts w:ascii="Verdana" w:hAnsi="Verdana"/>
          <w:sz w:val="20"/>
        </w:rPr>
      </w:pPr>
      <w:r w:rsidRPr="008E58D2">
        <w:rPr>
          <w:rFonts w:ascii="Verdana" w:hAnsi="Verdana"/>
          <w:sz w:val="20"/>
        </w:rPr>
        <w:lastRenderedPageBreak/>
        <w:t>Vi v</w:t>
      </w:r>
      <w:r w:rsidR="00A75B38">
        <w:rPr>
          <w:rFonts w:ascii="Verdana" w:hAnsi="Verdana"/>
          <w:sz w:val="20"/>
        </w:rPr>
        <w:t>il bestille en redegørelse ved Aa</w:t>
      </w:r>
      <w:r w:rsidRPr="008E58D2">
        <w:rPr>
          <w:rFonts w:ascii="Verdana" w:hAnsi="Verdana"/>
          <w:sz w:val="20"/>
        </w:rPr>
        <w:t>rhus Universitet om problemets omfang. Herefter vil vi tage stilling til</w:t>
      </w:r>
      <w:r w:rsidR="00B821CE" w:rsidRPr="008E58D2">
        <w:rPr>
          <w:rFonts w:ascii="Verdana" w:hAnsi="Verdana"/>
          <w:sz w:val="20"/>
        </w:rPr>
        <w:t>,</w:t>
      </w:r>
      <w:r w:rsidRPr="008E58D2">
        <w:rPr>
          <w:rFonts w:ascii="Verdana" w:hAnsi="Verdana"/>
          <w:sz w:val="20"/>
        </w:rPr>
        <w:t xml:space="preserve"> om der er behov for særlige tiltag.</w:t>
      </w:r>
    </w:p>
    <w:p w:rsidR="001C1437" w:rsidRDefault="001C1437" w:rsidP="00251F24">
      <w:pPr>
        <w:pStyle w:val="Listeafsnit"/>
        <w:spacing w:after="120"/>
        <w:ind w:left="0"/>
        <w:rPr>
          <w:rFonts w:ascii="Verdana" w:hAnsi="Verdana"/>
          <w:sz w:val="20"/>
        </w:rPr>
      </w:pPr>
    </w:p>
    <w:p w:rsidR="00E41563" w:rsidRPr="0064046A" w:rsidRDefault="00E41563" w:rsidP="00DD34E9">
      <w:pPr>
        <w:pStyle w:val="Listeafsnit"/>
        <w:numPr>
          <w:ilvl w:val="0"/>
          <w:numId w:val="7"/>
        </w:numPr>
        <w:spacing w:after="120"/>
        <w:rPr>
          <w:rFonts w:ascii="Verdana" w:hAnsi="Verdana"/>
          <w:sz w:val="20"/>
        </w:rPr>
      </w:pPr>
      <w:r>
        <w:rPr>
          <w:rFonts w:ascii="Verdana" w:hAnsi="Verdana"/>
          <w:sz w:val="20"/>
          <w:u w:val="single"/>
        </w:rPr>
        <w:t xml:space="preserve">Anmeldelser til avlskontrol </w:t>
      </w:r>
    </w:p>
    <w:p w:rsidR="00E41563" w:rsidRDefault="00E41563" w:rsidP="00E41563">
      <w:pPr>
        <w:pStyle w:val="Listeafsnit"/>
        <w:spacing w:after="120"/>
        <w:ind w:left="0"/>
        <w:rPr>
          <w:rFonts w:ascii="Verdana" w:hAnsi="Verdana"/>
          <w:sz w:val="20"/>
        </w:rPr>
      </w:pPr>
      <w:r w:rsidRPr="0064046A">
        <w:rPr>
          <w:rFonts w:ascii="Verdana" w:hAnsi="Verdana"/>
          <w:sz w:val="20"/>
        </w:rPr>
        <w:t>Vi vil i forbindelse med anmeldelser til avlskontrollen 2016 og fremover have fokus på</w:t>
      </w:r>
    </w:p>
    <w:p w:rsidR="00E41563" w:rsidRDefault="00E41563" w:rsidP="00E41563">
      <w:pPr>
        <w:pStyle w:val="Listeafsnit"/>
        <w:spacing w:after="120"/>
        <w:ind w:left="0"/>
        <w:rPr>
          <w:rFonts w:ascii="Verdana" w:hAnsi="Verdana"/>
          <w:sz w:val="20"/>
        </w:rPr>
      </w:pPr>
      <w:r w:rsidRPr="0064046A">
        <w:rPr>
          <w:rFonts w:ascii="Verdana" w:hAnsi="Verdana"/>
          <w:sz w:val="20"/>
        </w:rPr>
        <w:t xml:space="preserve"> </w:t>
      </w:r>
    </w:p>
    <w:p w:rsidR="00DD34E9" w:rsidRDefault="00E41563" w:rsidP="00DD34E9">
      <w:pPr>
        <w:pStyle w:val="Listeafsnit"/>
        <w:numPr>
          <w:ilvl w:val="0"/>
          <w:numId w:val="5"/>
        </w:numPr>
        <w:spacing w:after="120"/>
        <w:rPr>
          <w:rFonts w:ascii="Verdana" w:hAnsi="Verdana"/>
          <w:sz w:val="20"/>
        </w:rPr>
      </w:pPr>
      <w:r w:rsidRPr="0064046A">
        <w:rPr>
          <w:rFonts w:ascii="Verdana" w:hAnsi="Verdana"/>
          <w:sz w:val="20"/>
        </w:rPr>
        <w:t xml:space="preserve">mærkesedler fra andre EU-lande og lande uden for EU. Det skyldes, at mærkesedlerne er dokumentation for, at avlspartierne produceres på certificerede partier, der opfylder kravene til videre fremavl. </w:t>
      </w:r>
    </w:p>
    <w:p w:rsidR="00DD34E9" w:rsidRDefault="00DD34E9" w:rsidP="00DD34E9">
      <w:pPr>
        <w:pStyle w:val="Listeafsnit"/>
        <w:spacing w:after="120"/>
        <w:ind w:left="1080"/>
        <w:rPr>
          <w:rFonts w:ascii="Verdana" w:hAnsi="Verdana"/>
          <w:sz w:val="20"/>
        </w:rPr>
      </w:pPr>
    </w:p>
    <w:p w:rsidR="00E41563" w:rsidRPr="00DD34E9" w:rsidRDefault="00E41563" w:rsidP="00DD34E9">
      <w:pPr>
        <w:pStyle w:val="Listeafsnit"/>
        <w:numPr>
          <w:ilvl w:val="0"/>
          <w:numId w:val="5"/>
        </w:numPr>
        <w:spacing w:after="120"/>
        <w:rPr>
          <w:rFonts w:ascii="Verdana" w:hAnsi="Verdana"/>
          <w:sz w:val="20"/>
        </w:rPr>
      </w:pPr>
      <w:r w:rsidRPr="00DD34E9">
        <w:rPr>
          <w:rFonts w:ascii="Verdana" w:hAnsi="Verdana"/>
          <w:sz w:val="20"/>
        </w:rPr>
        <w:t>mangelfulde anmeldelser, der indeholder forkerte eller utilstrækkelige oplysninger. Vi har særligt i år brugt meget tid på at håndtere anmeldelser, der ikke er fyldestgørende. Det betyder meget manuelt ekstraarbejde, og at anmeldelser i nogle tilfælde ikke kan udtages til efterkontrol. Det overvejes, om sådanne anmeldelser kan betragtes som indsendt for sent og derfor kan pålægges efteranmeldelsesgebyr jf. betalingsbekendtgørelsen. Det overvejes også, om anmeldelser kan afvises, når vigtig information i forhold til vurdering af anmeldelserne først kommer efter 1. juli, jf. bekendtgørelserne om markfrø og sædekorn.</w:t>
      </w:r>
    </w:p>
    <w:p w:rsidR="00E41563" w:rsidRPr="00AF6C8E" w:rsidRDefault="00E41563" w:rsidP="00E41563">
      <w:pPr>
        <w:spacing w:after="120"/>
        <w:rPr>
          <w:rFonts w:ascii="Verdana" w:hAnsi="Verdana"/>
          <w:sz w:val="20"/>
        </w:rPr>
      </w:pPr>
    </w:p>
    <w:p w:rsidR="00316C0B" w:rsidRDefault="004873B8" w:rsidP="00DD34E9">
      <w:pPr>
        <w:pStyle w:val="Listeafsnit"/>
        <w:numPr>
          <w:ilvl w:val="0"/>
          <w:numId w:val="7"/>
        </w:numPr>
        <w:spacing w:after="120"/>
        <w:rPr>
          <w:rFonts w:ascii="Verdana" w:hAnsi="Verdana"/>
          <w:sz w:val="20"/>
        </w:rPr>
      </w:pPr>
      <w:r>
        <w:rPr>
          <w:rFonts w:ascii="Verdana" w:hAnsi="Verdana"/>
          <w:sz w:val="20"/>
          <w:u w:val="single"/>
        </w:rPr>
        <w:t>Frø</w:t>
      </w:r>
      <w:r w:rsidR="00316C0B">
        <w:rPr>
          <w:rFonts w:ascii="Verdana" w:hAnsi="Verdana"/>
          <w:sz w:val="20"/>
          <w:u w:val="single"/>
        </w:rPr>
        <w:t>blandinger</w:t>
      </w:r>
      <w:r>
        <w:rPr>
          <w:rFonts w:ascii="Verdana" w:hAnsi="Verdana"/>
          <w:sz w:val="20"/>
          <w:u w:val="single"/>
        </w:rPr>
        <w:t xml:space="preserve"> til efterafgrøder, vildt, landskabspleje, fremme af biodiversitet</w:t>
      </w:r>
      <w:r w:rsidR="000E7E13">
        <w:rPr>
          <w:rFonts w:ascii="Verdana" w:hAnsi="Verdana"/>
          <w:sz w:val="20"/>
          <w:u w:val="single"/>
        </w:rPr>
        <w:t xml:space="preserve"> m.m.</w:t>
      </w:r>
    </w:p>
    <w:p w:rsidR="00316C0B" w:rsidRDefault="004A31DE" w:rsidP="00251F24">
      <w:pPr>
        <w:pStyle w:val="Listeafsnit"/>
        <w:spacing w:after="120"/>
        <w:ind w:left="0"/>
        <w:rPr>
          <w:rFonts w:ascii="Verdana" w:hAnsi="Verdana"/>
          <w:sz w:val="20"/>
        </w:rPr>
      </w:pPr>
      <w:r>
        <w:rPr>
          <w:rFonts w:ascii="Verdana" w:hAnsi="Verdana"/>
          <w:sz w:val="20"/>
        </w:rPr>
        <w:t xml:space="preserve">Der er </w:t>
      </w:r>
      <w:r w:rsidR="00DD34E9">
        <w:rPr>
          <w:rFonts w:ascii="Verdana" w:hAnsi="Verdana"/>
          <w:sz w:val="20"/>
        </w:rPr>
        <w:t>uklarhed</w:t>
      </w:r>
      <w:r w:rsidR="00484961">
        <w:rPr>
          <w:rFonts w:ascii="Verdana" w:hAnsi="Verdana"/>
          <w:sz w:val="20"/>
        </w:rPr>
        <w:t xml:space="preserve"> om, hvorvidt visse frøblandinger skal være certificeret</w:t>
      </w:r>
      <w:r>
        <w:rPr>
          <w:rFonts w:ascii="Verdana" w:hAnsi="Verdana"/>
          <w:sz w:val="20"/>
        </w:rPr>
        <w:t xml:space="preserve">. </w:t>
      </w:r>
      <w:r w:rsidR="008E58D2">
        <w:rPr>
          <w:rFonts w:ascii="Verdana" w:hAnsi="Verdana"/>
          <w:sz w:val="20"/>
        </w:rPr>
        <w:t xml:space="preserve">Det drejer sig fx om frøblandinger til </w:t>
      </w:r>
      <w:r w:rsidR="008E58D2" w:rsidRPr="008E58D2">
        <w:rPr>
          <w:rFonts w:ascii="Verdana" w:hAnsi="Verdana"/>
          <w:sz w:val="20"/>
        </w:rPr>
        <w:t>efterafgrøder, vildt, landskabspleje</w:t>
      </w:r>
      <w:r w:rsidR="008E58D2">
        <w:rPr>
          <w:rFonts w:ascii="Verdana" w:hAnsi="Verdana"/>
          <w:sz w:val="20"/>
        </w:rPr>
        <w:t xml:space="preserve"> og</w:t>
      </w:r>
      <w:r w:rsidR="008E58D2" w:rsidRPr="008E58D2">
        <w:rPr>
          <w:rFonts w:ascii="Verdana" w:hAnsi="Verdana"/>
          <w:sz w:val="20"/>
        </w:rPr>
        <w:t xml:space="preserve"> fremme af biodiversitet.</w:t>
      </w:r>
      <w:r w:rsidR="008E58D2">
        <w:rPr>
          <w:rFonts w:ascii="Verdana" w:hAnsi="Verdana"/>
          <w:sz w:val="20"/>
        </w:rPr>
        <w:t xml:space="preserve"> </w:t>
      </w:r>
      <w:r w:rsidR="008D3F61">
        <w:rPr>
          <w:rFonts w:ascii="Verdana" w:hAnsi="Verdana"/>
          <w:sz w:val="20"/>
        </w:rPr>
        <w:t xml:space="preserve">Der </w:t>
      </w:r>
      <w:r w:rsidR="004873B8">
        <w:rPr>
          <w:rFonts w:ascii="Verdana" w:hAnsi="Verdana"/>
          <w:sz w:val="20"/>
        </w:rPr>
        <w:t xml:space="preserve">kan være </w:t>
      </w:r>
      <w:r w:rsidR="008D3F61">
        <w:rPr>
          <w:rFonts w:ascii="Verdana" w:hAnsi="Verdana"/>
          <w:sz w:val="20"/>
        </w:rPr>
        <w:t xml:space="preserve">tale om grænsetilfælde i forhold til, hvad der betragtes </w:t>
      </w:r>
      <w:r w:rsidR="008E58D2">
        <w:rPr>
          <w:rFonts w:ascii="Verdana" w:hAnsi="Verdana"/>
          <w:sz w:val="20"/>
        </w:rPr>
        <w:t xml:space="preserve">at være </w:t>
      </w:r>
      <w:r w:rsidR="008D3F61">
        <w:rPr>
          <w:rFonts w:ascii="Verdana" w:hAnsi="Verdana"/>
          <w:sz w:val="20"/>
        </w:rPr>
        <w:t xml:space="preserve">til erhvervsmæssig produktion. </w:t>
      </w:r>
      <w:r>
        <w:rPr>
          <w:rFonts w:ascii="Verdana" w:hAnsi="Verdana"/>
          <w:sz w:val="20"/>
        </w:rPr>
        <w:t xml:space="preserve">Umiddelbart </w:t>
      </w:r>
      <w:r w:rsidR="008D3F61">
        <w:rPr>
          <w:rFonts w:ascii="Verdana" w:hAnsi="Verdana"/>
          <w:sz w:val="20"/>
        </w:rPr>
        <w:t>ser</w:t>
      </w:r>
      <w:r>
        <w:rPr>
          <w:rFonts w:ascii="Verdana" w:hAnsi="Verdana"/>
          <w:sz w:val="20"/>
        </w:rPr>
        <w:t xml:space="preserve"> vi det ikke som en vigtig del af direktivernes overordnede formål</w:t>
      </w:r>
      <w:r w:rsidR="005C7CC0">
        <w:rPr>
          <w:rFonts w:ascii="Verdana" w:hAnsi="Verdana"/>
          <w:sz w:val="20"/>
        </w:rPr>
        <w:t>, som er landbrugsproduktion</w:t>
      </w:r>
      <w:r w:rsidR="00484961">
        <w:rPr>
          <w:rFonts w:ascii="Verdana" w:hAnsi="Verdana"/>
          <w:sz w:val="20"/>
        </w:rPr>
        <w:t>, men de arealer, der tilsås er ofte en del af det areal, der kan søges arealstøtte til</w:t>
      </w:r>
      <w:r w:rsidR="005C7CC0">
        <w:rPr>
          <w:rFonts w:ascii="Verdana" w:hAnsi="Verdana"/>
          <w:sz w:val="20"/>
        </w:rPr>
        <w:t>.</w:t>
      </w:r>
      <w:r w:rsidR="008D3F61">
        <w:rPr>
          <w:rFonts w:ascii="Verdana" w:hAnsi="Verdana"/>
          <w:sz w:val="20"/>
        </w:rPr>
        <w:t xml:space="preserve"> </w:t>
      </w:r>
      <w:r w:rsidR="00484961">
        <w:rPr>
          <w:rFonts w:ascii="Verdana" w:hAnsi="Verdana"/>
          <w:sz w:val="20"/>
        </w:rPr>
        <w:t>C</w:t>
      </w:r>
      <w:r w:rsidR="008D3F61">
        <w:rPr>
          <w:rFonts w:ascii="Verdana" w:hAnsi="Verdana"/>
          <w:sz w:val="20"/>
        </w:rPr>
        <w:t>ertificeringskravet kan være med til at sikre frøets identitet gennem mærkning og sporbarhed</w:t>
      </w:r>
      <w:r w:rsidR="005C7CC0">
        <w:rPr>
          <w:rFonts w:ascii="Verdana" w:hAnsi="Verdana"/>
          <w:sz w:val="20"/>
        </w:rPr>
        <w:t>,</w:t>
      </w:r>
      <w:r w:rsidR="008D3F61">
        <w:rPr>
          <w:rFonts w:ascii="Verdana" w:hAnsi="Verdana"/>
          <w:sz w:val="20"/>
        </w:rPr>
        <w:t xml:space="preserve"> </w:t>
      </w:r>
      <w:r w:rsidR="005C7CC0">
        <w:rPr>
          <w:rFonts w:ascii="Verdana" w:hAnsi="Verdana"/>
          <w:sz w:val="20"/>
        </w:rPr>
        <w:t>h</w:t>
      </w:r>
      <w:r w:rsidR="008D3F61">
        <w:rPr>
          <w:rFonts w:ascii="Verdana" w:hAnsi="Verdana"/>
          <w:sz w:val="20"/>
        </w:rPr>
        <w:t>vilket ellers kan være vanskeligt at sikre og kontrollere.</w:t>
      </w:r>
    </w:p>
    <w:p w:rsidR="008E58D2" w:rsidRDefault="008E58D2" w:rsidP="00251F24">
      <w:pPr>
        <w:pStyle w:val="Listeafsnit"/>
        <w:spacing w:after="120"/>
        <w:ind w:left="0"/>
        <w:rPr>
          <w:rFonts w:ascii="Verdana" w:hAnsi="Verdana"/>
          <w:sz w:val="20"/>
        </w:rPr>
      </w:pPr>
    </w:p>
    <w:p w:rsidR="0064552F" w:rsidRDefault="00D028BA" w:rsidP="00251F24">
      <w:pPr>
        <w:pStyle w:val="Listeafsnit"/>
        <w:spacing w:after="120"/>
        <w:ind w:left="0"/>
        <w:rPr>
          <w:rFonts w:ascii="Verdana" w:hAnsi="Verdana"/>
          <w:sz w:val="20"/>
        </w:rPr>
      </w:pPr>
      <w:r>
        <w:rPr>
          <w:rFonts w:ascii="Verdana" w:hAnsi="Verdana"/>
          <w:sz w:val="20"/>
        </w:rPr>
        <w:t xml:space="preserve">Frøblandinger kan produceres og handles efter bestemmelserne i foderplantedirektivet. Foderplantedirektivet er gennemført i </w:t>
      </w:r>
      <w:proofErr w:type="spellStart"/>
      <w:r>
        <w:rPr>
          <w:rFonts w:ascii="Verdana" w:hAnsi="Verdana"/>
          <w:sz w:val="20"/>
        </w:rPr>
        <w:t>markfrøbekendtgørelsen</w:t>
      </w:r>
      <w:proofErr w:type="spellEnd"/>
      <w:r>
        <w:rPr>
          <w:rFonts w:ascii="Verdana" w:hAnsi="Verdana"/>
          <w:sz w:val="20"/>
        </w:rPr>
        <w:t xml:space="preserve">. </w:t>
      </w:r>
      <w:r w:rsidR="008E58D2">
        <w:rPr>
          <w:rFonts w:ascii="Verdana" w:hAnsi="Verdana"/>
          <w:sz w:val="20"/>
        </w:rPr>
        <w:t xml:space="preserve">Direktivets </w:t>
      </w:r>
      <w:r>
        <w:rPr>
          <w:rFonts w:ascii="Verdana" w:hAnsi="Verdana"/>
          <w:sz w:val="20"/>
        </w:rPr>
        <w:t xml:space="preserve">og bekendtgørelsens tekst om frøblandinger </w:t>
      </w:r>
      <w:r w:rsidR="008E58D2">
        <w:rPr>
          <w:rFonts w:ascii="Verdana" w:hAnsi="Verdana"/>
          <w:sz w:val="20"/>
        </w:rPr>
        <w:t>er gengivet i bilag</w:t>
      </w:r>
      <w:r w:rsidR="00E41563">
        <w:rPr>
          <w:rFonts w:ascii="Verdana" w:hAnsi="Verdana"/>
          <w:sz w:val="20"/>
        </w:rPr>
        <w:t xml:space="preserve"> 1 til dette bilag</w:t>
      </w:r>
      <w:r>
        <w:rPr>
          <w:rFonts w:ascii="Verdana" w:hAnsi="Verdana"/>
          <w:sz w:val="20"/>
        </w:rPr>
        <w:t>.</w:t>
      </w:r>
      <w:r w:rsidR="0064552F">
        <w:rPr>
          <w:rFonts w:ascii="Verdana" w:hAnsi="Verdana"/>
          <w:sz w:val="20"/>
        </w:rPr>
        <w:t xml:space="preserve"> </w:t>
      </w:r>
    </w:p>
    <w:p w:rsidR="0071024D" w:rsidRDefault="0071024D" w:rsidP="0071024D">
      <w:pPr>
        <w:pStyle w:val="Listeafsnit"/>
        <w:spacing w:after="120"/>
        <w:ind w:left="0"/>
        <w:rPr>
          <w:rFonts w:ascii="Verdana" w:hAnsi="Verdana"/>
          <w:sz w:val="20"/>
        </w:rPr>
      </w:pPr>
    </w:p>
    <w:p w:rsidR="0071024D" w:rsidRDefault="0071024D" w:rsidP="0071024D">
      <w:pPr>
        <w:pStyle w:val="Listeafsnit"/>
        <w:spacing w:after="120"/>
        <w:ind w:left="0"/>
        <w:rPr>
          <w:rFonts w:ascii="Verdana" w:hAnsi="Verdana"/>
          <w:sz w:val="20"/>
        </w:rPr>
      </w:pPr>
      <w:r>
        <w:rPr>
          <w:rFonts w:ascii="Verdana" w:hAnsi="Verdana"/>
          <w:sz w:val="20"/>
        </w:rPr>
        <w:t>Der skelnes mellem blandinger til foderbrug og blandinger til andet brug. Vi vurderer, at der er tale om foderbrug, når det drejer sig om foder til registrerede husdyr i forbindelse med landbrugsproduktion.</w:t>
      </w:r>
    </w:p>
    <w:p w:rsidR="0071024D" w:rsidRDefault="0071024D" w:rsidP="0071024D">
      <w:pPr>
        <w:pStyle w:val="Listeafsnit"/>
        <w:spacing w:after="120"/>
        <w:ind w:left="0"/>
        <w:rPr>
          <w:rFonts w:ascii="Verdana" w:hAnsi="Verdana"/>
          <w:sz w:val="20"/>
        </w:rPr>
      </w:pPr>
    </w:p>
    <w:p w:rsidR="0071024D" w:rsidRDefault="0071024D" w:rsidP="0071024D">
      <w:pPr>
        <w:pStyle w:val="Listeafsnit"/>
        <w:spacing w:after="120"/>
        <w:ind w:left="0"/>
        <w:rPr>
          <w:rFonts w:ascii="Verdana" w:hAnsi="Verdana"/>
          <w:sz w:val="20"/>
        </w:rPr>
      </w:pPr>
      <w:r>
        <w:rPr>
          <w:rFonts w:ascii="Verdana" w:hAnsi="Verdana"/>
          <w:sz w:val="20"/>
        </w:rPr>
        <w:t xml:space="preserve">Blandinger af foderplanter af markfrø til foderbrug må kun indeholde partier af slægter og arter, der er omfattet af bekendtgørelserne om markfrø, sædekorn og grønsagsfrø. Desuden gælder, at partier af sorter af græsser kun må indgå i foderblandinger, når sorten er afprøvet og godkendt til foderbrug. Blandinger til foderbrug </w:t>
      </w:r>
      <w:r w:rsidR="00DD34E9">
        <w:rPr>
          <w:rFonts w:ascii="Verdana" w:hAnsi="Verdana"/>
          <w:sz w:val="20"/>
        </w:rPr>
        <w:t>skal</w:t>
      </w:r>
      <w:r>
        <w:rPr>
          <w:rFonts w:ascii="Verdana" w:hAnsi="Verdana"/>
          <w:sz w:val="20"/>
        </w:rPr>
        <w:t xml:space="preserve"> handles i pakninger med grøn certificeringsmærkeseddel eller i EU-B småpakninger på op til 10 kg.</w:t>
      </w:r>
    </w:p>
    <w:p w:rsidR="0071024D" w:rsidRDefault="0071024D" w:rsidP="0071024D">
      <w:pPr>
        <w:pStyle w:val="Listeafsnit"/>
        <w:spacing w:after="120"/>
        <w:ind w:left="0"/>
        <w:rPr>
          <w:rFonts w:ascii="Verdana" w:hAnsi="Verdana"/>
          <w:sz w:val="20"/>
        </w:rPr>
      </w:pPr>
    </w:p>
    <w:p w:rsidR="0071024D" w:rsidRDefault="0071024D" w:rsidP="0071024D">
      <w:pPr>
        <w:pStyle w:val="Listeafsnit"/>
        <w:spacing w:after="120"/>
        <w:ind w:left="0"/>
        <w:rPr>
          <w:rFonts w:ascii="Verdana" w:hAnsi="Verdana"/>
          <w:sz w:val="20"/>
        </w:rPr>
      </w:pPr>
      <w:r>
        <w:rPr>
          <w:rFonts w:ascii="Verdana" w:hAnsi="Verdana"/>
          <w:sz w:val="20"/>
        </w:rPr>
        <w:t xml:space="preserve">Blandinger af foderplanter af markfrø, der ikke er til foderbrug, </w:t>
      </w:r>
      <w:r w:rsidR="00484961">
        <w:rPr>
          <w:rFonts w:ascii="Verdana" w:hAnsi="Verdana"/>
          <w:sz w:val="20"/>
        </w:rPr>
        <w:t xml:space="preserve">fx blandinger til efterafgrøder, vildt og landskabspleje, </w:t>
      </w:r>
      <w:r>
        <w:rPr>
          <w:rFonts w:ascii="Verdana" w:hAnsi="Verdana"/>
          <w:sz w:val="20"/>
        </w:rPr>
        <w:t xml:space="preserve">kan indeholde partier af slægter og arter, der er omfattet af bekendtgørelserne om markfrø, sædekorn og grønsagsfrø, samt partier af andre slægter og arter. Partierne af slægter og arter, der er omfattet af bekendtgørelserne om markfrø, sædekorn og grønsagsfrø skal være certificerede forud for blandingen. Blandinger, der ikke er til foderbrug, </w:t>
      </w:r>
      <w:r w:rsidR="00DD34E9">
        <w:rPr>
          <w:rFonts w:ascii="Verdana" w:hAnsi="Verdana"/>
          <w:sz w:val="20"/>
        </w:rPr>
        <w:lastRenderedPageBreak/>
        <w:t>skal</w:t>
      </w:r>
      <w:r>
        <w:rPr>
          <w:rFonts w:ascii="Verdana" w:hAnsi="Verdana"/>
          <w:sz w:val="20"/>
        </w:rPr>
        <w:t xml:space="preserve"> handles i pakninger med grøn certificeringsmærkeseddel eller i EU-A småpakninger på op til 2 kg.</w:t>
      </w:r>
    </w:p>
    <w:p w:rsidR="0064552F" w:rsidRDefault="0064552F" w:rsidP="00251F24">
      <w:pPr>
        <w:pStyle w:val="Listeafsnit"/>
        <w:spacing w:after="120"/>
        <w:ind w:left="0"/>
        <w:rPr>
          <w:rFonts w:ascii="Verdana" w:hAnsi="Verdana"/>
          <w:sz w:val="20"/>
        </w:rPr>
      </w:pPr>
    </w:p>
    <w:p w:rsidR="0071024D" w:rsidRDefault="0071024D" w:rsidP="00251F24">
      <w:pPr>
        <w:pStyle w:val="Listeafsnit"/>
        <w:spacing w:after="120"/>
        <w:ind w:left="0"/>
        <w:rPr>
          <w:rFonts w:ascii="Verdana" w:hAnsi="Verdana"/>
          <w:sz w:val="20"/>
        </w:rPr>
      </w:pPr>
      <w:r>
        <w:rPr>
          <w:rFonts w:ascii="Verdana" w:hAnsi="Verdana"/>
          <w:sz w:val="20"/>
        </w:rPr>
        <w:t xml:space="preserve">I </w:t>
      </w:r>
      <w:proofErr w:type="spellStart"/>
      <w:r>
        <w:rPr>
          <w:rFonts w:ascii="Verdana" w:hAnsi="Verdana"/>
          <w:sz w:val="20"/>
        </w:rPr>
        <w:t>markfrøbekendtgørelsens</w:t>
      </w:r>
      <w:proofErr w:type="spellEnd"/>
      <w:r>
        <w:rPr>
          <w:rFonts w:ascii="Verdana" w:hAnsi="Verdana"/>
          <w:sz w:val="20"/>
        </w:rPr>
        <w:t xml:space="preserve"> § 41-50 er der beskrevet en mulighed for produktion og handel med </w:t>
      </w:r>
      <w:proofErr w:type="spellStart"/>
      <w:r>
        <w:rPr>
          <w:rFonts w:ascii="Verdana" w:hAnsi="Verdana"/>
          <w:sz w:val="20"/>
        </w:rPr>
        <w:t>miljøfrøblandinger</w:t>
      </w:r>
      <w:proofErr w:type="spellEnd"/>
      <w:r>
        <w:rPr>
          <w:rFonts w:ascii="Verdana" w:hAnsi="Verdana"/>
          <w:sz w:val="20"/>
        </w:rPr>
        <w:t>. Der har indtil videre ikke været interesse for denne mulighed i Danmark</w:t>
      </w:r>
    </w:p>
    <w:p w:rsidR="0071024D" w:rsidRDefault="0071024D" w:rsidP="00251F24">
      <w:pPr>
        <w:pStyle w:val="Listeafsnit"/>
        <w:spacing w:after="120"/>
        <w:ind w:left="0"/>
        <w:rPr>
          <w:rFonts w:ascii="Verdana" w:hAnsi="Verdana"/>
          <w:sz w:val="20"/>
        </w:rPr>
      </w:pPr>
    </w:p>
    <w:p w:rsidR="003144CC" w:rsidRDefault="0064552F" w:rsidP="00251F24">
      <w:pPr>
        <w:pStyle w:val="Listeafsnit"/>
        <w:spacing w:after="120"/>
        <w:ind w:left="0"/>
        <w:rPr>
          <w:rFonts w:ascii="Verdana" w:hAnsi="Verdana"/>
          <w:sz w:val="20"/>
        </w:rPr>
      </w:pPr>
      <w:r>
        <w:rPr>
          <w:rFonts w:ascii="Verdana" w:hAnsi="Verdana"/>
          <w:sz w:val="20"/>
        </w:rPr>
        <w:t xml:space="preserve">Desuden </w:t>
      </w:r>
      <w:r w:rsidR="0071024D">
        <w:rPr>
          <w:rFonts w:ascii="Verdana" w:hAnsi="Verdana"/>
          <w:sz w:val="20"/>
        </w:rPr>
        <w:t>findes</w:t>
      </w:r>
      <w:r>
        <w:rPr>
          <w:rFonts w:ascii="Verdana" w:hAnsi="Verdana"/>
          <w:sz w:val="20"/>
        </w:rPr>
        <w:t xml:space="preserve"> der en forsøgsordning med frøblandinger til foderbrug, hvor der er mulighed for at tilsætte slægter og arter, der ikke er omfattet af direktiverne</w:t>
      </w:r>
      <w:r w:rsidR="00E41563">
        <w:rPr>
          <w:rFonts w:ascii="Verdana" w:hAnsi="Verdana"/>
          <w:sz w:val="20"/>
        </w:rPr>
        <w:t>, i frøblandinger</w:t>
      </w:r>
      <w:r>
        <w:rPr>
          <w:rFonts w:ascii="Verdana" w:hAnsi="Verdana"/>
          <w:sz w:val="20"/>
        </w:rPr>
        <w:t xml:space="preserve">. </w:t>
      </w:r>
      <w:r w:rsidR="00E41563">
        <w:rPr>
          <w:rFonts w:ascii="Verdana" w:hAnsi="Verdana"/>
          <w:sz w:val="20"/>
        </w:rPr>
        <w:t xml:space="preserve">Det er et </w:t>
      </w:r>
      <w:r w:rsidR="00E00808">
        <w:rPr>
          <w:rFonts w:ascii="Verdana" w:hAnsi="Verdana"/>
          <w:sz w:val="20"/>
        </w:rPr>
        <w:t xml:space="preserve">EU </w:t>
      </w:r>
      <w:r w:rsidR="00E41563">
        <w:rPr>
          <w:rFonts w:ascii="Verdana" w:hAnsi="Verdana"/>
          <w:sz w:val="20"/>
        </w:rPr>
        <w:t>krav,</w:t>
      </w:r>
      <w:r>
        <w:rPr>
          <w:rFonts w:ascii="Verdana" w:hAnsi="Verdana"/>
          <w:sz w:val="20"/>
        </w:rPr>
        <w:t xml:space="preserve"> at de </w:t>
      </w:r>
      <w:r w:rsidR="00E00808">
        <w:rPr>
          <w:rFonts w:ascii="Verdana" w:hAnsi="Verdana"/>
          <w:sz w:val="20"/>
        </w:rPr>
        <w:t>nye</w:t>
      </w:r>
      <w:r>
        <w:rPr>
          <w:rFonts w:ascii="Verdana" w:hAnsi="Verdana"/>
          <w:sz w:val="20"/>
        </w:rPr>
        <w:t xml:space="preserve"> arter certificeres</w:t>
      </w:r>
      <w:r w:rsidR="00E41563">
        <w:rPr>
          <w:rFonts w:ascii="Verdana" w:hAnsi="Verdana"/>
          <w:sz w:val="20"/>
        </w:rPr>
        <w:t>,</w:t>
      </w:r>
      <w:r>
        <w:rPr>
          <w:rFonts w:ascii="Verdana" w:hAnsi="Verdana"/>
          <w:sz w:val="20"/>
        </w:rPr>
        <w:t xml:space="preserve"> og der fastlægges normer for dem. Der har indtil nu ikke været interesse for at Danmark skulle deltage i forsøget.</w:t>
      </w:r>
      <w:r w:rsidR="00E41563">
        <w:rPr>
          <w:rFonts w:ascii="Verdana" w:hAnsi="Verdana"/>
          <w:sz w:val="20"/>
        </w:rPr>
        <w:t xml:space="preserve"> Forsøgsordningen er gengivet i bilag 2 til dette bilag. Heraf fremgår de arter, der er medtaget i forsøget og de kvalitetsnormer, der gælder under forsøget.</w:t>
      </w:r>
      <w:r w:rsidR="002258BB">
        <w:rPr>
          <w:rFonts w:ascii="Verdana" w:hAnsi="Verdana"/>
          <w:sz w:val="20"/>
        </w:rPr>
        <w:t xml:space="preserve"> Forsøgsordningen udløber 31. maj 2016 og skal ændres til permanente regler. Det drøftes i øjeblikket i EU Kommissionens Stående Komité for Frø, hvordan de permanente regler skal være.</w:t>
      </w:r>
      <w:r w:rsidR="003144CC">
        <w:rPr>
          <w:rFonts w:ascii="Verdana" w:hAnsi="Verdana"/>
          <w:sz w:val="20"/>
        </w:rPr>
        <w:t xml:space="preserve"> Kommissionen bad om bemærkninger fra medlemsstaterne. Danmark sendte følgende foreløbige </w:t>
      </w:r>
      <w:r w:rsidR="00251F24">
        <w:rPr>
          <w:rFonts w:ascii="Verdana" w:hAnsi="Verdana"/>
          <w:sz w:val="20"/>
        </w:rPr>
        <w:t>bemærkninger</w:t>
      </w:r>
      <w:r w:rsidR="003144CC">
        <w:rPr>
          <w:rFonts w:ascii="Verdana" w:hAnsi="Verdana"/>
          <w:sz w:val="20"/>
        </w:rPr>
        <w:t>:</w:t>
      </w:r>
    </w:p>
    <w:p w:rsidR="003144CC" w:rsidRDefault="003144CC" w:rsidP="00251F24">
      <w:pPr>
        <w:pStyle w:val="Listeafsnit"/>
        <w:spacing w:after="120"/>
        <w:ind w:left="0"/>
        <w:rPr>
          <w:rFonts w:ascii="Verdana" w:hAnsi="Verdana"/>
          <w:sz w:val="20"/>
        </w:rPr>
      </w:pPr>
    </w:p>
    <w:p w:rsidR="00251F24" w:rsidRPr="00251F24" w:rsidRDefault="00251F24" w:rsidP="00251F24">
      <w:pPr>
        <w:rPr>
          <w:rFonts w:ascii="Verdana" w:hAnsi="Verdana"/>
          <w:sz w:val="16"/>
          <w:szCs w:val="16"/>
          <w:lang w:val="en-US"/>
        </w:rPr>
      </w:pPr>
      <w:r w:rsidRPr="00251F24">
        <w:rPr>
          <w:rFonts w:ascii="Verdana" w:hAnsi="Verdana"/>
          <w:sz w:val="16"/>
          <w:szCs w:val="16"/>
          <w:lang w:val="en-US"/>
        </w:rPr>
        <w:t xml:space="preserve">” We acknowledge the request for new types of fodder mixtures for e.g. organic milk production. </w:t>
      </w:r>
      <w:r w:rsidR="007C7FB7" w:rsidRPr="00251F24">
        <w:rPr>
          <w:rFonts w:ascii="Verdana" w:hAnsi="Verdana"/>
          <w:sz w:val="16"/>
          <w:szCs w:val="16"/>
          <w:lang w:val="en-US"/>
        </w:rPr>
        <w:t>However,</w:t>
      </w:r>
      <w:r w:rsidRPr="00251F24">
        <w:rPr>
          <w:rFonts w:ascii="Verdana" w:hAnsi="Verdana"/>
          <w:sz w:val="16"/>
          <w:szCs w:val="16"/>
          <w:lang w:val="en-US"/>
        </w:rPr>
        <w:t xml:space="preserve"> we do not see the need for obligatory certification of these newly introduced species when used in seed mixtures, and we think the request for certification of the new species could be an impediment to the use of such mixtures for fodder purposes. </w:t>
      </w:r>
    </w:p>
    <w:p w:rsidR="00251F24" w:rsidRPr="00251F24" w:rsidRDefault="00251F24" w:rsidP="00251F24">
      <w:pPr>
        <w:rPr>
          <w:rFonts w:ascii="Verdana" w:hAnsi="Verdana"/>
          <w:sz w:val="16"/>
          <w:szCs w:val="16"/>
          <w:lang w:val="en-US"/>
        </w:rPr>
      </w:pPr>
    </w:p>
    <w:p w:rsidR="00251F24" w:rsidRPr="00251F24" w:rsidRDefault="00251F24" w:rsidP="00251F24">
      <w:pPr>
        <w:rPr>
          <w:rFonts w:ascii="Verdana" w:hAnsi="Verdana"/>
          <w:sz w:val="16"/>
          <w:szCs w:val="16"/>
          <w:lang w:val="en-US"/>
        </w:rPr>
      </w:pPr>
      <w:r w:rsidRPr="00251F24">
        <w:rPr>
          <w:rFonts w:ascii="Verdana" w:hAnsi="Verdana"/>
          <w:sz w:val="16"/>
          <w:szCs w:val="16"/>
          <w:lang w:val="en-US"/>
        </w:rPr>
        <w:t xml:space="preserve">We have not taken part in the experiment, as there has been no interest for certification of such mixtures so far. These mixtures are at some point used, but the mixing has been taking place after trade of the seed, as a service to the farmer. In </w:t>
      </w:r>
      <w:r w:rsidR="007C7FB7" w:rsidRPr="00251F24">
        <w:rPr>
          <w:rFonts w:ascii="Verdana" w:hAnsi="Verdana"/>
          <w:sz w:val="16"/>
          <w:szCs w:val="16"/>
          <w:lang w:val="en-US"/>
        </w:rPr>
        <w:t>Denmark,</w:t>
      </w:r>
      <w:r w:rsidRPr="00251F24">
        <w:rPr>
          <w:rFonts w:ascii="Verdana" w:hAnsi="Verdana"/>
          <w:sz w:val="16"/>
          <w:szCs w:val="16"/>
          <w:lang w:val="en-US"/>
        </w:rPr>
        <w:t xml:space="preserve"> there is some interest for </w:t>
      </w:r>
      <w:proofErr w:type="spellStart"/>
      <w:r w:rsidRPr="00251F24">
        <w:rPr>
          <w:rFonts w:ascii="Verdana" w:hAnsi="Verdana"/>
          <w:i/>
          <w:iCs/>
          <w:sz w:val="16"/>
          <w:szCs w:val="16"/>
          <w:lang w:val="en-US"/>
        </w:rPr>
        <w:t>Plantago</w:t>
      </w:r>
      <w:proofErr w:type="spellEnd"/>
      <w:r w:rsidRPr="00251F24">
        <w:rPr>
          <w:rFonts w:ascii="Verdana" w:hAnsi="Verdana"/>
          <w:i/>
          <w:iCs/>
          <w:sz w:val="16"/>
          <w:szCs w:val="16"/>
          <w:lang w:val="en-US"/>
        </w:rPr>
        <w:t xml:space="preserve"> lanceolate</w:t>
      </w:r>
      <w:r w:rsidRPr="00251F24">
        <w:rPr>
          <w:rFonts w:ascii="Verdana" w:hAnsi="Verdana"/>
          <w:sz w:val="16"/>
          <w:szCs w:val="16"/>
          <w:lang w:val="en-US"/>
        </w:rPr>
        <w:t xml:space="preserve"> and </w:t>
      </w:r>
      <w:proofErr w:type="spellStart"/>
      <w:r w:rsidRPr="00251F24">
        <w:rPr>
          <w:rFonts w:ascii="Verdana" w:hAnsi="Verdana"/>
          <w:i/>
          <w:iCs/>
          <w:sz w:val="16"/>
          <w:szCs w:val="16"/>
          <w:lang w:val="en-US"/>
        </w:rPr>
        <w:t>Sanguisorba</w:t>
      </w:r>
      <w:proofErr w:type="spellEnd"/>
      <w:r w:rsidRPr="00251F24">
        <w:rPr>
          <w:rFonts w:ascii="Verdana" w:hAnsi="Verdana"/>
          <w:i/>
          <w:iCs/>
          <w:sz w:val="16"/>
          <w:szCs w:val="16"/>
          <w:lang w:val="en-US"/>
        </w:rPr>
        <w:t xml:space="preserve"> minor</w:t>
      </w:r>
      <w:r w:rsidRPr="00251F24">
        <w:rPr>
          <w:rFonts w:ascii="Verdana" w:hAnsi="Verdana"/>
          <w:sz w:val="16"/>
          <w:szCs w:val="16"/>
          <w:lang w:val="en-US"/>
        </w:rPr>
        <w:t xml:space="preserve"> for the time being</w:t>
      </w:r>
      <w:r w:rsidRPr="00251F24">
        <w:rPr>
          <w:rFonts w:ascii="Verdana" w:hAnsi="Verdana"/>
          <w:i/>
          <w:iCs/>
          <w:sz w:val="16"/>
          <w:szCs w:val="16"/>
          <w:lang w:val="en-US"/>
        </w:rPr>
        <w:t xml:space="preserve">. </w:t>
      </w:r>
    </w:p>
    <w:p w:rsidR="00251F24" w:rsidRPr="00251F24" w:rsidRDefault="00251F24" w:rsidP="00251F24">
      <w:pPr>
        <w:rPr>
          <w:rFonts w:ascii="Verdana" w:hAnsi="Verdana"/>
          <w:sz w:val="16"/>
          <w:szCs w:val="16"/>
          <w:lang w:val="en-US"/>
        </w:rPr>
      </w:pPr>
    </w:p>
    <w:p w:rsidR="00251F24" w:rsidRPr="00251F24" w:rsidRDefault="00251F24" w:rsidP="00251F24">
      <w:pPr>
        <w:rPr>
          <w:rFonts w:ascii="Verdana" w:hAnsi="Verdana"/>
          <w:sz w:val="16"/>
          <w:szCs w:val="16"/>
          <w:lang w:val="en-US"/>
        </w:rPr>
      </w:pPr>
      <w:r w:rsidRPr="00251F24">
        <w:rPr>
          <w:rFonts w:ascii="Verdana" w:hAnsi="Verdana"/>
          <w:sz w:val="16"/>
          <w:szCs w:val="16"/>
          <w:lang w:val="en-US"/>
        </w:rPr>
        <w:t xml:space="preserve">We propose to consider other ways of solving these demands, </w:t>
      </w:r>
      <w:r w:rsidR="007C7FB7" w:rsidRPr="00251F24">
        <w:rPr>
          <w:rFonts w:ascii="Verdana" w:hAnsi="Verdana"/>
          <w:sz w:val="16"/>
          <w:szCs w:val="16"/>
          <w:lang w:val="en-US"/>
        </w:rPr>
        <w:t>maybe</w:t>
      </w:r>
      <w:r w:rsidRPr="00251F24">
        <w:rPr>
          <w:rFonts w:ascii="Verdana" w:hAnsi="Verdana"/>
          <w:sz w:val="16"/>
          <w:szCs w:val="16"/>
          <w:lang w:val="en-US"/>
        </w:rPr>
        <w:t xml:space="preserve"> take a closer look at the provision in the fodder plant directive</w:t>
      </w:r>
      <w:r w:rsidR="007C7FB7">
        <w:rPr>
          <w:rFonts w:ascii="Verdana" w:hAnsi="Verdana"/>
          <w:sz w:val="16"/>
          <w:szCs w:val="16"/>
          <w:lang w:val="en-US"/>
        </w:rPr>
        <w:t>,</w:t>
      </w:r>
      <w:r w:rsidRPr="00251F24">
        <w:rPr>
          <w:rFonts w:ascii="Verdana" w:hAnsi="Verdana"/>
          <w:sz w:val="16"/>
          <w:szCs w:val="16"/>
          <w:lang w:val="en-US"/>
        </w:rPr>
        <w:t xml:space="preserve"> article 13, n</w:t>
      </w:r>
      <w:r w:rsidR="007C7FB7">
        <w:rPr>
          <w:rFonts w:ascii="Verdana" w:hAnsi="Verdana"/>
          <w:sz w:val="16"/>
          <w:szCs w:val="16"/>
          <w:lang w:val="en-US"/>
        </w:rPr>
        <w:t>o</w:t>
      </w:r>
      <w:r w:rsidRPr="00251F24">
        <w:rPr>
          <w:rFonts w:ascii="Verdana" w:hAnsi="Verdana"/>
          <w:sz w:val="16"/>
          <w:szCs w:val="16"/>
          <w:lang w:val="en-US"/>
        </w:rPr>
        <w:t xml:space="preserve">.1, </w:t>
      </w:r>
      <w:r w:rsidR="007C7FB7" w:rsidRPr="00251F24">
        <w:rPr>
          <w:rFonts w:ascii="Verdana" w:hAnsi="Verdana"/>
          <w:sz w:val="16"/>
          <w:szCs w:val="16"/>
          <w:lang w:val="en-US"/>
        </w:rPr>
        <w:t>first</w:t>
      </w:r>
      <w:r w:rsidRPr="00251F24">
        <w:rPr>
          <w:rFonts w:ascii="Verdana" w:hAnsi="Verdana"/>
          <w:sz w:val="16"/>
          <w:szCs w:val="16"/>
          <w:lang w:val="en-US"/>
        </w:rPr>
        <w:t xml:space="preserve"> indent, to see if it could be ex</w:t>
      </w:r>
      <w:r w:rsidR="007C7FB7">
        <w:rPr>
          <w:rFonts w:ascii="Verdana" w:hAnsi="Verdana"/>
          <w:sz w:val="16"/>
          <w:szCs w:val="16"/>
          <w:lang w:val="en-US"/>
        </w:rPr>
        <w:t>tended</w:t>
      </w:r>
      <w:r w:rsidRPr="00251F24">
        <w:rPr>
          <w:rFonts w:ascii="Verdana" w:hAnsi="Verdana"/>
          <w:sz w:val="16"/>
          <w:szCs w:val="16"/>
          <w:lang w:val="en-US"/>
        </w:rPr>
        <w:t xml:space="preserve"> to also cover such mixtures. Another possibility that could be further elaborated is to introduce a form of derogation from the rules for these new species when used in fodder plant mixtures.”</w:t>
      </w:r>
    </w:p>
    <w:p w:rsidR="003144CC" w:rsidRPr="00251F24" w:rsidRDefault="003144CC" w:rsidP="00251F24">
      <w:pPr>
        <w:pStyle w:val="Listeafsnit"/>
        <w:spacing w:after="120"/>
        <w:ind w:left="0"/>
        <w:rPr>
          <w:rFonts w:ascii="Verdana" w:hAnsi="Verdana"/>
          <w:sz w:val="20"/>
          <w:lang w:val="en-US"/>
        </w:rPr>
      </w:pPr>
    </w:p>
    <w:p w:rsidR="008E58D2" w:rsidRDefault="003144CC" w:rsidP="00251F24">
      <w:pPr>
        <w:pStyle w:val="Listeafsnit"/>
        <w:spacing w:after="120"/>
        <w:ind w:left="0"/>
        <w:rPr>
          <w:rFonts w:ascii="Verdana" w:hAnsi="Verdana"/>
          <w:sz w:val="20"/>
        </w:rPr>
      </w:pPr>
      <w:r>
        <w:rPr>
          <w:rFonts w:ascii="Verdana" w:hAnsi="Verdana"/>
          <w:sz w:val="20"/>
        </w:rPr>
        <w:t>Der er behov for en hurtig afklaring af den danske holdning</w:t>
      </w:r>
      <w:r w:rsidR="007C7FB7">
        <w:rPr>
          <w:rFonts w:ascii="Verdana" w:hAnsi="Verdana"/>
          <w:sz w:val="20"/>
        </w:rPr>
        <w:t xml:space="preserve"> i forhold til forsøgsordningen</w:t>
      </w:r>
      <w:r>
        <w:rPr>
          <w:rFonts w:ascii="Verdana" w:hAnsi="Verdana"/>
          <w:sz w:val="20"/>
        </w:rPr>
        <w:t xml:space="preserve">. </w:t>
      </w:r>
    </w:p>
    <w:p w:rsidR="00D028BA" w:rsidRDefault="00D028BA" w:rsidP="00251F24">
      <w:pPr>
        <w:pStyle w:val="Listeafsnit"/>
        <w:spacing w:after="120"/>
        <w:ind w:left="0"/>
        <w:rPr>
          <w:rFonts w:ascii="Verdana" w:hAnsi="Verdana"/>
          <w:sz w:val="20"/>
        </w:rPr>
      </w:pPr>
    </w:p>
    <w:p w:rsidR="0064552F" w:rsidRPr="0064552F" w:rsidRDefault="0064552F" w:rsidP="00DD34E9">
      <w:pPr>
        <w:pStyle w:val="Listeafsnit"/>
        <w:numPr>
          <w:ilvl w:val="0"/>
          <w:numId w:val="7"/>
        </w:numPr>
        <w:spacing w:after="120"/>
        <w:rPr>
          <w:rFonts w:ascii="Verdana" w:hAnsi="Verdana"/>
          <w:sz w:val="20"/>
          <w:u w:val="single"/>
        </w:rPr>
      </w:pPr>
      <w:r w:rsidRPr="0064552F">
        <w:rPr>
          <w:rFonts w:ascii="Verdana" w:hAnsi="Verdana"/>
          <w:sz w:val="20"/>
          <w:u w:val="single"/>
        </w:rPr>
        <w:t>Frøblandinger til økologisk dyrkning</w:t>
      </w:r>
      <w:r w:rsidR="002258BB">
        <w:rPr>
          <w:rFonts w:ascii="Verdana" w:hAnsi="Verdana"/>
          <w:sz w:val="20"/>
          <w:u w:val="single"/>
        </w:rPr>
        <w:t xml:space="preserve"> drøftet i UPU 27. november 2014</w:t>
      </w:r>
    </w:p>
    <w:p w:rsidR="00E41563" w:rsidRDefault="00854007" w:rsidP="00251F24">
      <w:pPr>
        <w:spacing w:after="120"/>
        <w:rPr>
          <w:rFonts w:ascii="Verdana" w:hAnsi="Verdana"/>
          <w:sz w:val="20"/>
        </w:rPr>
      </w:pPr>
      <w:r>
        <w:rPr>
          <w:rFonts w:ascii="Verdana" w:hAnsi="Verdana"/>
          <w:sz w:val="20"/>
        </w:rPr>
        <w:t>På møde i udvalget 27. november 2014 blev et ønske fra Økologisk Landsforening drøftet</w:t>
      </w:r>
      <w:r w:rsidR="00E41563">
        <w:rPr>
          <w:rFonts w:ascii="Verdana" w:hAnsi="Verdana"/>
          <w:sz w:val="20"/>
        </w:rPr>
        <w:t>:</w:t>
      </w:r>
    </w:p>
    <w:p w:rsidR="00E41563" w:rsidRDefault="00E41563" w:rsidP="00064A00">
      <w:pPr>
        <w:spacing w:after="120"/>
        <w:rPr>
          <w:rFonts w:ascii="Verdana" w:hAnsi="Verdana"/>
          <w:sz w:val="20"/>
        </w:rPr>
      </w:pPr>
      <w:r>
        <w:rPr>
          <w:rFonts w:ascii="Verdana" w:hAnsi="Verdana"/>
          <w:sz w:val="20"/>
        </w:rPr>
        <w:t>”</w:t>
      </w:r>
      <w:r w:rsidR="00854007">
        <w:rPr>
          <w:rFonts w:ascii="Verdana" w:hAnsi="Verdana"/>
          <w:sz w:val="20"/>
        </w:rPr>
        <w:t>Økologisk Landsforening har foreslået, at der må iblandes urter, som fx almindelig røllike (</w:t>
      </w:r>
      <w:proofErr w:type="spellStart"/>
      <w:r w:rsidR="00854007">
        <w:rPr>
          <w:rFonts w:ascii="Verdana" w:hAnsi="Verdana"/>
          <w:i/>
          <w:iCs/>
          <w:sz w:val="20"/>
          <w:lang w:eastAsia="da-DK"/>
        </w:rPr>
        <w:t>Achilléa</w:t>
      </w:r>
      <w:proofErr w:type="spellEnd"/>
      <w:r w:rsidR="00854007">
        <w:rPr>
          <w:rFonts w:ascii="Verdana" w:hAnsi="Verdana"/>
          <w:i/>
          <w:iCs/>
          <w:sz w:val="20"/>
          <w:lang w:eastAsia="da-DK"/>
        </w:rPr>
        <w:t xml:space="preserve"> </w:t>
      </w:r>
      <w:proofErr w:type="spellStart"/>
      <w:r w:rsidR="00854007">
        <w:rPr>
          <w:rFonts w:ascii="Verdana" w:hAnsi="Verdana"/>
          <w:i/>
          <w:iCs/>
          <w:sz w:val="20"/>
          <w:lang w:eastAsia="da-DK"/>
        </w:rPr>
        <w:t>millefolium</w:t>
      </w:r>
      <w:proofErr w:type="spellEnd"/>
      <w:r w:rsidR="00854007">
        <w:rPr>
          <w:rFonts w:ascii="Verdana" w:hAnsi="Verdana"/>
          <w:sz w:val="20"/>
          <w:lang w:eastAsia="da-DK"/>
        </w:rPr>
        <w:t xml:space="preserve"> L.</w:t>
      </w:r>
      <w:r w:rsidR="00854007">
        <w:rPr>
          <w:rFonts w:ascii="Verdana" w:hAnsi="Verdana"/>
          <w:sz w:val="20"/>
        </w:rPr>
        <w:t>), lancet vejbred (</w:t>
      </w:r>
      <w:proofErr w:type="spellStart"/>
      <w:r w:rsidR="00854007">
        <w:rPr>
          <w:rFonts w:ascii="Verdana" w:hAnsi="Verdana"/>
          <w:i/>
          <w:iCs/>
          <w:sz w:val="20"/>
          <w:lang w:eastAsia="da-DK"/>
        </w:rPr>
        <w:t>Plantago</w:t>
      </w:r>
      <w:proofErr w:type="spellEnd"/>
      <w:r w:rsidR="00854007">
        <w:rPr>
          <w:rFonts w:ascii="Verdana" w:hAnsi="Verdana"/>
          <w:i/>
          <w:iCs/>
          <w:sz w:val="20"/>
          <w:lang w:eastAsia="da-DK"/>
        </w:rPr>
        <w:t xml:space="preserve"> </w:t>
      </w:r>
      <w:proofErr w:type="spellStart"/>
      <w:r w:rsidR="00854007">
        <w:rPr>
          <w:rFonts w:ascii="Verdana" w:hAnsi="Verdana"/>
          <w:i/>
          <w:iCs/>
          <w:sz w:val="20"/>
          <w:lang w:eastAsia="da-DK"/>
        </w:rPr>
        <w:t>lanceolata</w:t>
      </w:r>
      <w:proofErr w:type="spellEnd"/>
      <w:r w:rsidR="00854007">
        <w:rPr>
          <w:rFonts w:ascii="Verdana" w:hAnsi="Verdana"/>
          <w:i/>
          <w:iCs/>
          <w:sz w:val="20"/>
          <w:lang w:eastAsia="da-DK"/>
        </w:rPr>
        <w:t xml:space="preserve"> </w:t>
      </w:r>
      <w:r w:rsidR="00854007">
        <w:rPr>
          <w:rFonts w:ascii="Verdana" w:hAnsi="Verdana"/>
          <w:sz w:val="20"/>
          <w:lang w:eastAsia="da-DK"/>
        </w:rPr>
        <w:t>L.)</w:t>
      </w:r>
      <w:r w:rsidR="00854007">
        <w:rPr>
          <w:rFonts w:ascii="Verdana" w:hAnsi="Verdana"/>
          <w:sz w:val="20"/>
        </w:rPr>
        <w:t xml:space="preserve"> og </w:t>
      </w:r>
      <w:proofErr w:type="spellStart"/>
      <w:r w:rsidR="00854007">
        <w:rPr>
          <w:rFonts w:ascii="Verdana" w:hAnsi="Verdana"/>
          <w:sz w:val="20"/>
        </w:rPr>
        <w:t>bibernelle</w:t>
      </w:r>
      <w:proofErr w:type="spellEnd"/>
      <w:r w:rsidR="00854007">
        <w:rPr>
          <w:rFonts w:ascii="Verdana" w:hAnsi="Verdana"/>
          <w:sz w:val="20"/>
        </w:rPr>
        <w:t xml:space="preserve"> (</w:t>
      </w:r>
      <w:proofErr w:type="spellStart"/>
      <w:r w:rsidR="00854007">
        <w:rPr>
          <w:rFonts w:ascii="Verdana" w:hAnsi="Verdana"/>
          <w:i/>
          <w:iCs/>
          <w:sz w:val="20"/>
          <w:lang w:eastAsia="da-DK"/>
        </w:rPr>
        <w:t>Sanguisorba</w:t>
      </w:r>
      <w:proofErr w:type="spellEnd"/>
      <w:r w:rsidR="00854007">
        <w:rPr>
          <w:rFonts w:ascii="Verdana" w:hAnsi="Verdana"/>
          <w:i/>
          <w:iCs/>
          <w:sz w:val="20"/>
          <w:lang w:eastAsia="da-DK"/>
        </w:rPr>
        <w:t xml:space="preserve"> </w:t>
      </w:r>
      <w:proofErr w:type="spellStart"/>
      <w:r w:rsidR="00854007">
        <w:rPr>
          <w:rFonts w:ascii="Verdana" w:hAnsi="Verdana"/>
          <w:i/>
          <w:iCs/>
          <w:sz w:val="20"/>
          <w:lang w:eastAsia="da-DK"/>
        </w:rPr>
        <w:t>minor</w:t>
      </w:r>
      <w:proofErr w:type="spellEnd"/>
      <w:r w:rsidR="00854007">
        <w:rPr>
          <w:rFonts w:ascii="Verdana" w:hAnsi="Verdana"/>
          <w:sz w:val="20"/>
          <w:lang w:eastAsia="da-DK"/>
        </w:rPr>
        <w:t xml:space="preserve"> </w:t>
      </w:r>
      <w:proofErr w:type="spellStart"/>
      <w:r w:rsidR="00854007">
        <w:rPr>
          <w:rFonts w:ascii="Verdana" w:hAnsi="Verdana"/>
          <w:sz w:val="20"/>
          <w:lang w:eastAsia="da-DK"/>
        </w:rPr>
        <w:t>Scop</w:t>
      </w:r>
      <w:proofErr w:type="spellEnd"/>
      <w:r w:rsidR="00854007">
        <w:rPr>
          <w:rFonts w:ascii="Verdana" w:hAnsi="Verdana"/>
          <w:sz w:val="20"/>
          <w:lang w:eastAsia="da-DK"/>
        </w:rPr>
        <w:t>.</w:t>
      </w:r>
      <w:r w:rsidR="00854007">
        <w:rPr>
          <w:rFonts w:ascii="Verdana" w:hAnsi="Verdana"/>
          <w:sz w:val="20"/>
        </w:rPr>
        <w:t xml:space="preserve">), i græsfrøblandinger til foderbrug. Baggrunden for at iblande disse arter er, at de giver bedre ædelyst, god fedtsyresammensætning og øger biodiversiteten i græsmarkerne. Iblanding af urter giver i øvrigt bedre fødegrundlag til bier. </w:t>
      </w:r>
    </w:p>
    <w:p w:rsidR="00854007" w:rsidRDefault="00854007" w:rsidP="00064A00">
      <w:pPr>
        <w:spacing w:after="120"/>
        <w:rPr>
          <w:rFonts w:ascii="Verdana" w:hAnsi="Verdana"/>
          <w:sz w:val="20"/>
        </w:rPr>
      </w:pPr>
      <w:r>
        <w:rPr>
          <w:rFonts w:ascii="Verdana" w:hAnsi="Verdana"/>
          <w:sz w:val="20"/>
        </w:rPr>
        <w:t>Henvendelsen fra Økologisk Landsforening vedrørte et ønske om at kunne medtage nye arter i foderblandinger, hvor forsøg og erfaring har påvist en forbedring i forhold til de gængse foderblandinger. Nogle mælkeproducenter af økologisk mælk stiller krav om, at arterne indgår. Landmændene køber disse arter separat fra frøproducenterne og skal selv sørge for en ensartet iblanding i deres foderblandinger. Det drejer sig om arter, hvor der ikke nødvendigvis findes sorter. Det er ikke tanken, at de nye arter skal indgå i direktiverne.</w:t>
      </w:r>
    </w:p>
    <w:p w:rsidR="00854007" w:rsidRDefault="00854007" w:rsidP="00064A00">
      <w:pPr>
        <w:spacing w:after="120"/>
        <w:rPr>
          <w:rFonts w:ascii="Verdana" w:hAnsi="Verdana"/>
          <w:sz w:val="20"/>
        </w:rPr>
      </w:pPr>
      <w:r>
        <w:rPr>
          <w:rFonts w:ascii="Verdana" w:hAnsi="Verdana"/>
          <w:sz w:val="20"/>
        </w:rPr>
        <w:t xml:space="preserve">Efter EU’s foderplantedirektiv, artikel 13, og </w:t>
      </w:r>
      <w:proofErr w:type="spellStart"/>
      <w:r>
        <w:rPr>
          <w:rFonts w:ascii="Verdana" w:hAnsi="Verdana"/>
          <w:sz w:val="20"/>
        </w:rPr>
        <w:t>markfrøbekendtgørelsen</w:t>
      </w:r>
      <w:proofErr w:type="spellEnd"/>
      <w:r>
        <w:rPr>
          <w:rFonts w:ascii="Verdana" w:hAnsi="Verdana"/>
          <w:sz w:val="20"/>
        </w:rPr>
        <w:t xml:space="preserve">, § 20, kan der kun iblandes arter, der allerede er omfattet af direktiverne og bekendtgørelserne om handel med frø, i græsfrøblandinger til foderbrug. Der findes allerede en EU forsøgsordning med frøblandinger til </w:t>
      </w:r>
      <w:r>
        <w:rPr>
          <w:rFonts w:ascii="Verdana" w:hAnsi="Verdana"/>
          <w:sz w:val="20"/>
        </w:rPr>
        <w:lastRenderedPageBreak/>
        <w:t xml:space="preserve">foderbrug, hvor der afprøves nye arter i frøblandinger. Sigtet er, at afklare om disse arter med fordel kan medtages i direktiverne og dermed blive omfattet af alle direktivets </w:t>
      </w:r>
      <w:r w:rsidR="00E41563">
        <w:rPr>
          <w:rFonts w:ascii="Verdana" w:hAnsi="Verdana"/>
          <w:sz w:val="20"/>
        </w:rPr>
        <w:t>bestemmelser. ”</w:t>
      </w:r>
    </w:p>
    <w:p w:rsidR="00854007" w:rsidRDefault="00854007" w:rsidP="00064A00">
      <w:pPr>
        <w:tabs>
          <w:tab w:val="left" w:pos="1134"/>
          <w:tab w:val="left" w:pos="9356"/>
        </w:tabs>
        <w:spacing w:after="120"/>
        <w:ind w:right="283"/>
        <w:rPr>
          <w:rFonts w:ascii="Verdana" w:hAnsi="Verdana"/>
          <w:sz w:val="20"/>
        </w:rPr>
      </w:pPr>
      <w:r>
        <w:rPr>
          <w:rFonts w:ascii="Verdana" w:hAnsi="Verdana"/>
          <w:sz w:val="20"/>
        </w:rPr>
        <w:t xml:space="preserve">På mødet i udvalget sidste år blev der rejst tvivl om behovet, da sådanne blandinger ofte laves som lønrensning. Græsfrøbranchen var betænkelig ved at åbne op for at blande </w:t>
      </w:r>
      <w:proofErr w:type="spellStart"/>
      <w:r>
        <w:rPr>
          <w:rFonts w:ascii="Verdana" w:hAnsi="Verdana"/>
          <w:sz w:val="20"/>
        </w:rPr>
        <w:t>ucertificeret</w:t>
      </w:r>
      <w:proofErr w:type="spellEnd"/>
      <w:r>
        <w:rPr>
          <w:rFonts w:ascii="Verdana" w:hAnsi="Verdana"/>
          <w:sz w:val="20"/>
        </w:rPr>
        <w:t xml:space="preserve"> frø i frøblandinger til foderbrug. Urterne risikerer, at blive udkonkurrerede af græsset ved </w:t>
      </w:r>
      <w:proofErr w:type="spellStart"/>
      <w:r>
        <w:rPr>
          <w:rFonts w:ascii="Verdana" w:hAnsi="Verdana"/>
          <w:sz w:val="20"/>
        </w:rPr>
        <w:t>samsåning</w:t>
      </w:r>
      <w:proofErr w:type="spellEnd"/>
      <w:r>
        <w:rPr>
          <w:rFonts w:ascii="Verdana" w:hAnsi="Verdana"/>
          <w:sz w:val="20"/>
        </w:rPr>
        <w:t xml:space="preserve"> </w:t>
      </w:r>
      <w:r w:rsidR="0064552F">
        <w:rPr>
          <w:rFonts w:ascii="Verdana" w:hAnsi="Verdana"/>
          <w:sz w:val="20"/>
        </w:rPr>
        <w:t>frem for</w:t>
      </w:r>
      <w:r>
        <w:rPr>
          <w:rFonts w:ascii="Verdana" w:hAnsi="Verdana"/>
          <w:sz w:val="20"/>
        </w:rPr>
        <w:t xml:space="preserve"> separat båndsåning. Det blev besluttet, at NAER ser på behovet og et muligt løsningsforslag sammen med Økologisk Landsforening og græsfrøbranchen</w:t>
      </w:r>
      <w:r w:rsidR="007C7FB7">
        <w:rPr>
          <w:rFonts w:ascii="Verdana" w:hAnsi="Verdana"/>
          <w:sz w:val="20"/>
        </w:rPr>
        <w:t xml:space="preserve"> og afklarer de</w:t>
      </w:r>
      <w:r>
        <w:rPr>
          <w:rFonts w:ascii="Verdana" w:hAnsi="Verdana"/>
          <w:sz w:val="20"/>
        </w:rPr>
        <w:t xml:space="preserve"> juridiske muligheder. </w:t>
      </w:r>
    </w:p>
    <w:p w:rsidR="00854007" w:rsidRDefault="0064552F" w:rsidP="00064A00">
      <w:pPr>
        <w:spacing w:after="120"/>
        <w:rPr>
          <w:rFonts w:ascii="Verdana" w:hAnsi="Verdana"/>
          <w:sz w:val="20"/>
        </w:rPr>
      </w:pPr>
      <w:r>
        <w:rPr>
          <w:rFonts w:ascii="Verdana" w:hAnsi="Verdana"/>
          <w:sz w:val="20"/>
        </w:rPr>
        <w:t>De juridiske muligheder er beskrevet i afsnit 4 ovenfor</w:t>
      </w:r>
      <w:r w:rsidR="0071024D">
        <w:rPr>
          <w:rFonts w:ascii="Verdana" w:hAnsi="Verdana"/>
          <w:sz w:val="20"/>
        </w:rPr>
        <w:t xml:space="preserve">. </w:t>
      </w:r>
      <w:r w:rsidR="002258BB">
        <w:rPr>
          <w:rFonts w:ascii="Verdana" w:hAnsi="Verdana"/>
          <w:sz w:val="20"/>
        </w:rPr>
        <w:t>Der har ikke været afholdt møder med Økologisk Landsforening og græsfrøbranchen.</w:t>
      </w:r>
    </w:p>
    <w:p w:rsidR="00BD633D" w:rsidRPr="00316C0B" w:rsidRDefault="00BD633D" w:rsidP="00251F24">
      <w:pPr>
        <w:pStyle w:val="Listeafsnit"/>
        <w:spacing w:after="120"/>
        <w:ind w:left="0"/>
        <w:rPr>
          <w:rFonts w:ascii="Verdana" w:hAnsi="Verdana"/>
          <w:sz w:val="20"/>
        </w:rPr>
      </w:pPr>
    </w:p>
    <w:p w:rsidR="00AC270C" w:rsidRPr="00507129" w:rsidRDefault="00AC270C" w:rsidP="00251F24">
      <w:pPr>
        <w:spacing w:after="120"/>
        <w:rPr>
          <w:rFonts w:ascii="Verdana" w:hAnsi="Verdana"/>
          <w:sz w:val="20"/>
        </w:rPr>
      </w:pPr>
      <w:r w:rsidRPr="00AF6C8E">
        <w:rPr>
          <w:rFonts w:ascii="Verdana" w:hAnsi="Verdana"/>
          <w:b/>
          <w:sz w:val="20"/>
        </w:rPr>
        <w:t>Løsning</w:t>
      </w:r>
      <w:r w:rsidR="00507129" w:rsidRPr="00507129">
        <w:rPr>
          <w:rFonts w:ascii="Verdana" w:hAnsi="Verdana"/>
          <w:sz w:val="20"/>
        </w:rPr>
        <w:t xml:space="preserve"> </w:t>
      </w:r>
    </w:p>
    <w:p w:rsidR="0040010F" w:rsidRDefault="003109A5" w:rsidP="00251F24">
      <w:pPr>
        <w:spacing w:after="120"/>
        <w:rPr>
          <w:rFonts w:ascii="Verdana" w:hAnsi="Verdana"/>
          <w:sz w:val="20"/>
        </w:rPr>
      </w:pPr>
      <w:r>
        <w:rPr>
          <w:rFonts w:ascii="Verdana" w:hAnsi="Verdana"/>
          <w:sz w:val="20"/>
        </w:rPr>
        <w:t xml:space="preserve">Vi gennemfører nye normer for hybridbyg i sædekornsbekendtgørelsen. </w:t>
      </w:r>
    </w:p>
    <w:p w:rsidR="00B821CE" w:rsidRPr="00DA3F36" w:rsidRDefault="00B821CE" w:rsidP="00251F24">
      <w:pPr>
        <w:spacing w:after="120"/>
        <w:rPr>
          <w:rFonts w:ascii="Verdana" w:hAnsi="Verdana"/>
          <w:sz w:val="20"/>
        </w:rPr>
      </w:pPr>
      <w:r>
        <w:rPr>
          <w:rFonts w:ascii="Verdana" w:hAnsi="Verdana"/>
          <w:sz w:val="20"/>
        </w:rPr>
        <w:t xml:space="preserve">Vi præciserer krav om </w:t>
      </w:r>
      <w:r w:rsidR="002258BB">
        <w:rPr>
          <w:rFonts w:ascii="Verdana" w:hAnsi="Verdana"/>
          <w:sz w:val="20"/>
        </w:rPr>
        <w:t xml:space="preserve">certificering af </w:t>
      </w:r>
      <w:r w:rsidR="001C3BB2">
        <w:rPr>
          <w:rFonts w:ascii="Verdana" w:hAnsi="Verdana"/>
          <w:sz w:val="20"/>
        </w:rPr>
        <w:t xml:space="preserve">frøblandinger, </w:t>
      </w:r>
      <w:r>
        <w:rPr>
          <w:rFonts w:ascii="Verdana" w:hAnsi="Verdana"/>
          <w:sz w:val="20"/>
        </w:rPr>
        <w:t>mærkesedler</w:t>
      </w:r>
      <w:r w:rsidR="00177D14">
        <w:rPr>
          <w:rFonts w:ascii="Verdana" w:hAnsi="Verdana"/>
          <w:sz w:val="20"/>
        </w:rPr>
        <w:t>,</w:t>
      </w:r>
      <w:r>
        <w:rPr>
          <w:rFonts w:ascii="Verdana" w:hAnsi="Verdana"/>
          <w:sz w:val="20"/>
        </w:rPr>
        <w:t xml:space="preserve"> forædlererklæringer </w:t>
      </w:r>
      <w:r w:rsidR="00177D14">
        <w:rPr>
          <w:rFonts w:ascii="Verdana" w:hAnsi="Verdana"/>
          <w:sz w:val="20"/>
        </w:rPr>
        <w:t xml:space="preserve">og fyldestgørende anmeldelser </w:t>
      </w:r>
      <w:r>
        <w:rPr>
          <w:rFonts w:ascii="Verdana" w:hAnsi="Verdana"/>
          <w:sz w:val="20"/>
        </w:rPr>
        <w:t>i vores vejledning om anmeldelser til avlskontrol</w:t>
      </w:r>
      <w:r w:rsidR="00076B50">
        <w:rPr>
          <w:rFonts w:ascii="Verdana" w:hAnsi="Verdana"/>
          <w:sz w:val="20"/>
        </w:rPr>
        <w:t>, herunder konsekvenser i forhold til manglende oplysninger</w:t>
      </w:r>
      <w:r>
        <w:rPr>
          <w:rFonts w:ascii="Verdana" w:hAnsi="Verdana"/>
          <w:sz w:val="20"/>
        </w:rPr>
        <w:t xml:space="preserve">. </w:t>
      </w:r>
    </w:p>
    <w:p w:rsidR="00DA3F36" w:rsidRPr="00AF6C8E" w:rsidRDefault="00DA3F36" w:rsidP="00251F24">
      <w:pPr>
        <w:spacing w:after="120"/>
        <w:rPr>
          <w:rFonts w:ascii="Verdana" w:hAnsi="Verdana"/>
          <w:sz w:val="20"/>
        </w:rPr>
      </w:pPr>
    </w:p>
    <w:p w:rsidR="00AC270C" w:rsidRPr="00507129" w:rsidRDefault="00AC270C" w:rsidP="00251F24">
      <w:pPr>
        <w:spacing w:after="120"/>
        <w:rPr>
          <w:rFonts w:ascii="Verdana" w:hAnsi="Verdana"/>
          <w:sz w:val="20"/>
        </w:rPr>
      </w:pPr>
      <w:r w:rsidRPr="00AF6C8E">
        <w:rPr>
          <w:rFonts w:ascii="Verdana" w:hAnsi="Verdana"/>
          <w:b/>
          <w:sz w:val="20"/>
        </w:rPr>
        <w:t>Videre proces</w:t>
      </w:r>
      <w:r w:rsidR="00507129" w:rsidRPr="00507129">
        <w:rPr>
          <w:rFonts w:ascii="Verdana" w:hAnsi="Verdana"/>
          <w:sz w:val="20"/>
        </w:rPr>
        <w:t xml:space="preserve"> </w:t>
      </w:r>
    </w:p>
    <w:p w:rsidR="0040010F" w:rsidRDefault="003109A5" w:rsidP="00251F24">
      <w:pPr>
        <w:spacing w:after="120"/>
        <w:rPr>
          <w:rFonts w:ascii="Verdana" w:hAnsi="Verdana"/>
          <w:sz w:val="20"/>
        </w:rPr>
      </w:pPr>
      <w:r>
        <w:rPr>
          <w:rFonts w:ascii="Verdana" w:hAnsi="Verdana"/>
          <w:sz w:val="20"/>
        </w:rPr>
        <w:t xml:space="preserve">Vi overvejer om rettelse af vikkearter og plantepas indarbejdes </w:t>
      </w:r>
      <w:r w:rsidR="0040010F">
        <w:rPr>
          <w:rFonts w:ascii="Verdana" w:hAnsi="Verdana"/>
          <w:sz w:val="20"/>
        </w:rPr>
        <w:t xml:space="preserve">i </w:t>
      </w:r>
      <w:proofErr w:type="spellStart"/>
      <w:r>
        <w:rPr>
          <w:rFonts w:ascii="Verdana" w:hAnsi="Verdana"/>
          <w:sz w:val="20"/>
        </w:rPr>
        <w:t>markfrøbekendtgørelsen</w:t>
      </w:r>
      <w:proofErr w:type="spellEnd"/>
      <w:r w:rsidR="0040010F">
        <w:rPr>
          <w:rFonts w:ascii="Verdana" w:hAnsi="Verdana"/>
          <w:sz w:val="20"/>
        </w:rPr>
        <w:t xml:space="preserve"> 1. juli 2016 eller i forbindelse med anden revision på et senere tidspunkt.</w:t>
      </w:r>
      <w:r>
        <w:rPr>
          <w:rFonts w:ascii="Verdana" w:hAnsi="Verdana"/>
          <w:sz w:val="20"/>
        </w:rPr>
        <w:t xml:space="preserve"> </w:t>
      </w:r>
    </w:p>
    <w:p w:rsidR="0040010F" w:rsidRDefault="00DA3F36" w:rsidP="00251F24">
      <w:pPr>
        <w:spacing w:after="120"/>
        <w:rPr>
          <w:rFonts w:ascii="Verdana" w:hAnsi="Verdana"/>
          <w:sz w:val="20"/>
        </w:rPr>
      </w:pPr>
      <w:r>
        <w:rPr>
          <w:rFonts w:ascii="Verdana" w:hAnsi="Verdana"/>
          <w:sz w:val="20"/>
        </w:rPr>
        <w:t xml:space="preserve">Vi </w:t>
      </w:r>
      <w:r w:rsidR="001C1437">
        <w:rPr>
          <w:rFonts w:ascii="Verdana" w:hAnsi="Verdana"/>
          <w:sz w:val="20"/>
        </w:rPr>
        <w:t xml:space="preserve">afventer </w:t>
      </w:r>
      <w:r w:rsidR="00076B50">
        <w:rPr>
          <w:rFonts w:ascii="Verdana" w:hAnsi="Verdana"/>
          <w:sz w:val="20"/>
        </w:rPr>
        <w:t>yderligere oplysninger om ager-rævehale i rajgræsarter, inden vi tager stilling til eventuelle tiltag.</w:t>
      </w:r>
      <w:r w:rsidR="002258BB">
        <w:rPr>
          <w:rFonts w:ascii="Verdana" w:hAnsi="Verdana"/>
          <w:sz w:val="20"/>
        </w:rPr>
        <w:t xml:space="preserve"> </w:t>
      </w:r>
    </w:p>
    <w:p w:rsidR="00AC270C" w:rsidRPr="00AF6C8E" w:rsidRDefault="00251F24" w:rsidP="00251F24">
      <w:pPr>
        <w:spacing w:after="120"/>
        <w:rPr>
          <w:rFonts w:ascii="Verdana" w:hAnsi="Verdana"/>
          <w:sz w:val="20"/>
        </w:rPr>
      </w:pPr>
      <w:r>
        <w:rPr>
          <w:rFonts w:ascii="Verdana" w:hAnsi="Verdana"/>
          <w:sz w:val="20"/>
        </w:rPr>
        <w:t>Den danske holdning til permanente regler for frøblandinger til foderbrug med indhold af slægter og arter, der ikke er med i markedsdirektiverne, skal hurtigt afklares.</w:t>
      </w:r>
    </w:p>
    <w:p w:rsidR="00DA3F36" w:rsidRDefault="00DA3F36" w:rsidP="00251F24">
      <w:pPr>
        <w:spacing w:after="120"/>
        <w:rPr>
          <w:rFonts w:ascii="Verdana" w:hAnsi="Verdana"/>
          <w:b/>
          <w:sz w:val="20"/>
        </w:rPr>
      </w:pPr>
    </w:p>
    <w:p w:rsidR="00AC270C" w:rsidRPr="00507129" w:rsidRDefault="00AC270C" w:rsidP="00251F24">
      <w:pPr>
        <w:spacing w:after="120"/>
        <w:rPr>
          <w:rFonts w:ascii="Verdana" w:hAnsi="Verdana"/>
          <w:sz w:val="20"/>
        </w:rPr>
      </w:pPr>
      <w:r w:rsidRPr="00AF6C8E">
        <w:rPr>
          <w:rFonts w:ascii="Verdana" w:hAnsi="Verdana"/>
          <w:b/>
          <w:sz w:val="20"/>
        </w:rPr>
        <w:t>Kommunikation og formidling</w:t>
      </w:r>
      <w:r w:rsidR="00507129" w:rsidRPr="00507129">
        <w:rPr>
          <w:rFonts w:ascii="Verdana" w:hAnsi="Verdana"/>
          <w:sz w:val="20"/>
        </w:rPr>
        <w:t xml:space="preserve"> </w:t>
      </w:r>
    </w:p>
    <w:p w:rsidR="007B0BFF" w:rsidRDefault="00B821CE" w:rsidP="00251F24">
      <w:pPr>
        <w:spacing w:after="120"/>
        <w:rPr>
          <w:rFonts w:ascii="Verdana" w:hAnsi="Verdana"/>
          <w:sz w:val="20"/>
        </w:rPr>
      </w:pPr>
      <w:r>
        <w:rPr>
          <w:rFonts w:ascii="Verdana" w:hAnsi="Verdana"/>
          <w:sz w:val="20"/>
        </w:rPr>
        <w:t>Vi udsender en faglig nyhed, når opdateret vejledning udsendes. I nyheden informere</w:t>
      </w:r>
      <w:r w:rsidR="00076B50">
        <w:rPr>
          <w:rFonts w:ascii="Verdana" w:hAnsi="Verdana"/>
          <w:sz w:val="20"/>
        </w:rPr>
        <w:t>r</w:t>
      </w:r>
      <w:r>
        <w:rPr>
          <w:rFonts w:ascii="Verdana" w:hAnsi="Verdana"/>
          <w:sz w:val="20"/>
        </w:rPr>
        <w:t xml:space="preserve"> vi om </w:t>
      </w:r>
      <w:r w:rsidR="00251F24">
        <w:rPr>
          <w:rFonts w:ascii="Verdana" w:hAnsi="Verdana"/>
          <w:sz w:val="20"/>
        </w:rPr>
        <w:t xml:space="preserve">certificering af frøblandinger og </w:t>
      </w:r>
      <w:r>
        <w:rPr>
          <w:rFonts w:ascii="Verdana" w:hAnsi="Verdana"/>
          <w:sz w:val="20"/>
        </w:rPr>
        <w:t>de særlige fokusområder for anmeldelser til avlskontrol.</w:t>
      </w:r>
    </w:p>
    <w:p w:rsidR="007B0BFF" w:rsidRDefault="007B0BFF" w:rsidP="00251F24">
      <w:pPr>
        <w:spacing w:after="120"/>
        <w:rPr>
          <w:rFonts w:ascii="Verdana" w:hAnsi="Verdana"/>
          <w:sz w:val="20"/>
        </w:rPr>
      </w:pPr>
      <w:r>
        <w:rPr>
          <w:rFonts w:ascii="Verdana" w:hAnsi="Verdana"/>
          <w:sz w:val="20"/>
        </w:rPr>
        <w:br w:type="page"/>
      </w:r>
    </w:p>
    <w:p w:rsidR="008E58D2" w:rsidRDefault="008E58D2" w:rsidP="008E58D2">
      <w:pPr>
        <w:pStyle w:val="title-doc-first"/>
        <w:jc w:val="right"/>
        <w:rPr>
          <w:rFonts w:ascii="Tahoma" w:eastAsia="Arial Unicode MS" w:hAnsi="Tahoma" w:cs="Tahoma"/>
          <w:color w:val="000000"/>
          <w:sz w:val="20"/>
          <w:szCs w:val="20"/>
        </w:rPr>
      </w:pPr>
      <w:r>
        <w:rPr>
          <w:rFonts w:ascii="Tahoma" w:eastAsia="Arial Unicode MS" w:hAnsi="Tahoma" w:cs="Tahoma"/>
          <w:color w:val="000000"/>
          <w:sz w:val="20"/>
          <w:szCs w:val="20"/>
        </w:rPr>
        <w:lastRenderedPageBreak/>
        <w:t>Bilag</w:t>
      </w:r>
      <w:r w:rsidR="00E41563">
        <w:rPr>
          <w:rFonts w:ascii="Tahoma" w:eastAsia="Arial Unicode MS" w:hAnsi="Tahoma" w:cs="Tahoma"/>
          <w:color w:val="000000"/>
          <w:sz w:val="20"/>
          <w:szCs w:val="20"/>
        </w:rPr>
        <w:t xml:space="preserve"> 1</w:t>
      </w:r>
      <w:r>
        <w:rPr>
          <w:rFonts w:ascii="Tahoma" w:eastAsia="Arial Unicode MS" w:hAnsi="Tahoma" w:cs="Tahoma"/>
          <w:color w:val="000000"/>
          <w:sz w:val="20"/>
          <w:szCs w:val="20"/>
        </w:rPr>
        <w:t xml:space="preserve"> </w:t>
      </w:r>
    </w:p>
    <w:p w:rsidR="008E58D2" w:rsidRDefault="008E58D2" w:rsidP="0055636F">
      <w:pPr>
        <w:pStyle w:val="title-doc-first"/>
        <w:jc w:val="left"/>
        <w:rPr>
          <w:rFonts w:ascii="Tahoma" w:eastAsia="Arial Unicode MS" w:hAnsi="Tahoma" w:cs="Tahoma"/>
          <w:color w:val="000000"/>
          <w:sz w:val="20"/>
          <w:szCs w:val="20"/>
        </w:rPr>
      </w:pPr>
    </w:p>
    <w:p w:rsidR="007B0BFF" w:rsidRPr="007B0BFF" w:rsidRDefault="007B0BFF" w:rsidP="0055636F">
      <w:pPr>
        <w:pStyle w:val="title-doc-first"/>
        <w:jc w:val="left"/>
        <w:rPr>
          <w:rFonts w:ascii="Tahoma" w:eastAsia="Arial Unicode MS" w:hAnsi="Tahoma" w:cs="Tahoma"/>
          <w:color w:val="000000"/>
          <w:sz w:val="20"/>
          <w:szCs w:val="20"/>
        </w:rPr>
      </w:pPr>
      <w:r w:rsidRPr="007B0BFF">
        <w:rPr>
          <w:rFonts w:ascii="Tahoma" w:eastAsia="Arial Unicode MS" w:hAnsi="Tahoma" w:cs="Tahoma"/>
          <w:color w:val="000000"/>
          <w:sz w:val="20"/>
          <w:szCs w:val="20"/>
        </w:rPr>
        <w:t>RÅDETS DIREKTIV</w:t>
      </w:r>
      <w:r w:rsidR="0055636F">
        <w:rPr>
          <w:rFonts w:ascii="Tahoma" w:eastAsia="Arial Unicode MS" w:hAnsi="Tahoma" w:cs="Tahoma"/>
          <w:color w:val="000000"/>
          <w:sz w:val="20"/>
          <w:szCs w:val="20"/>
        </w:rPr>
        <w:t xml:space="preserve"> </w:t>
      </w:r>
      <w:r w:rsidRPr="007B0BFF">
        <w:rPr>
          <w:rFonts w:ascii="Tahoma" w:eastAsia="Arial Unicode MS" w:hAnsi="Tahoma" w:cs="Tahoma"/>
          <w:color w:val="000000"/>
          <w:sz w:val="20"/>
          <w:szCs w:val="20"/>
        </w:rPr>
        <w:t>af 14. juni 1966</w:t>
      </w:r>
      <w:r w:rsidR="0055636F">
        <w:rPr>
          <w:rFonts w:ascii="Tahoma" w:eastAsia="Arial Unicode MS" w:hAnsi="Tahoma" w:cs="Tahoma"/>
          <w:color w:val="000000"/>
          <w:sz w:val="20"/>
          <w:szCs w:val="20"/>
        </w:rPr>
        <w:t xml:space="preserve"> </w:t>
      </w:r>
      <w:r w:rsidRPr="007B0BFF">
        <w:rPr>
          <w:rFonts w:ascii="Tahoma" w:eastAsia="Arial Unicode MS" w:hAnsi="Tahoma" w:cs="Tahoma"/>
          <w:color w:val="000000"/>
          <w:sz w:val="20"/>
          <w:szCs w:val="20"/>
        </w:rPr>
        <w:t>om handel med frø af foderplanter</w:t>
      </w:r>
    </w:p>
    <w:p w:rsidR="007B0BFF" w:rsidRPr="007B0BFF" w:rsidRDefault="007B0BFF" w:rsidP="007B0BFF">
      <w:pPr>
        <w:pStyle w:val="title-article-norm"/>
        <w:rPr>
          <w:rFonts w:ascii="Tahoma" w:eastAsia="Arial Unicode MS" w:hAnsi="Tahoma" w:cs="Tahoma"/>
          <w:color w:val="000000"/>
          <w:sz w:val="20"/>
          <w:szCs w:val="20"/>
        </w:rPr>
      </w:pPr>
      <w:r w:rsidRPr="007B0BFF">
        <w:rPr>
          <w:rFonts w:ascii="Tahoma" w:eastAsia="Arial Unicode MS" w:hAnsi="Tahoma" w:cs="Tahoma"/>
          <w:color w:val="000000"/>
          <w:sz w:val="20"/>
          <w:szCs w:val="20"/>
        </w:rPr>
        <w:t>Artikel 13</w:t>
      </w:r>
    </w:p>
    <w:p w:rsidR="007B0BFF" w:rsidRPr="007B0BFF" w:rsidRDefault="007B0BFF" w:rsidP="007B0BFF">
      <w:pPr>
        <w:pStyle w:val="norm"/>
        <w:rPr>
          <w:rFonts w:ascii="Tahoma" w:eastAsia="Arial Unicode MS" w:hAnsi="Tahoma" w:cs="Tahoma"/>
          <w:color w:val="000000"/>
          <w:sz w:val="20"/>
          <w:szCs w:val="20"/>
        </w:rPr>
      </w:pPr>
      <w:r w:rsidRPr="007B0BFF">
        <w:rPr>
          <w:rFonts w:ascii="Tahoma" w:eastAsia="Arial Unicode MS" w:hAnsi="Tahoma" w:cs="Tahoma"/>
          <w:color w:val="000000"/>
          <w:sz w:val="20"/>
          <w:szCs w:val="20"/>
        </w:rPr>
        <w:t>1.  Medlemsstaterne specificerer, at frø i blandinger af forskellige slægter, arter eller sorter kan bringes i handelen</w:t>
      </w:r>
    </w:p>
    <w:p w:rsidR="007B0BFF" w:rsidRPr="007B0BFF" w:rsidRDefault="007B0BFF" w:rsidP="0055636F">
      <w:pPr>
        <w:pStyle w:val="norm"/>
        <w:rPr>
          <w:rFonts w:ascii="Tahoma" w:eastAsia="Arial Unicode MS" w:hAnsi="Tahoma" w:cs="Tahoma"/>
          <w:color w:val="000000"/>
          <w:sz w:val="20"/>
          <w:szCs w:val="20"/>
        </w:rPr>
      </w:pPr>
      <w:r w:rsidRPr="007B0BFF">
        <w:rPr>
          <w:rFonts w:ascii="Tahoma" w:eastAsia="Arial Unicode MS" w:hAnsi="Tahoma" w:cs="Tahoma"/>
          <w:color w:val="000000"/>
          <w:sz w:val="20"/>
          <w:szCs w:val="20"/>
        </w:rPr>
        <w:t>— når det ikke er bestemt til anvendelse som foderplanter, idet blandingerne i så fald kan indeholde frø af foderplanter og frø af planter, der ikke er foderplanter i dette direktivs forstand</w:t>
      </w:r>
    </w:p>
    <w:p w:rsidR="007B0BFF" w:rsidRPr="007B0BFF" w:rsidRDefault="007B0BFF" w:rsidP="0055636F">
      <w:pPr>
        <w:pStyle w:val="norm"/>
        <w:rPr>
          <w:rFonts w:ascii="Tahoma" w:eastAsia="Arial Unicode MS" w:hAnsi="Tahoma" w:cs="Tahoma"/>
          <w:color w:val="000000"/>
          <w:sz w:val="20"/>
          <w:szCs w:val="20"/>
        </w:rPr>
      </w:pPr>
      <w:r w:rsidRPr="007B0BFF">
        <w:rPr>
          <w:rFonts w:ascii="Tahoma" w:eastAsia="Arial Unicode MS" w:hAnsi="Tahoma" w:cs="Tahoma"/>
          <w:color w:val="000000"/>
          <w:sz w:val="20"/>
          <w:szCs w:val="20"/>
        </w:rPr>
        <w:t>— når det er bestemt til anvendelse som foderplanter, idet blandingerne i så fald kan indeholde frø af de plantearter, der er anført i Rådets direktiv 66/401/EØF, 66/402/EØF, 69/208/EØF eller 70/458/EØF, bortset fra de sorter, der omhandles i artikel 4, stk. 2, litra a), i direktiv 70/457/EØF</w:t>
      </w:r>
    </w:p>
    <w:p w:rsidR="007B0BFF" w:rsidRPr="007B0BFF" w:rsidRDefault="007B0BFF" w:rsidP="0055636F">
      <w:pPr>
        <w:pStyle w:val="norm"/>
        <w:rPr>
          <w:rFonts w:ascii="Tahoma" w:eastAsia="Arial Unicode MS" w:hAnsi="Tahoma" w:cs="Tahoma"/>
          <w:color w:val="000000"/>
          <w:sz w:val="20"/>
          <w:szCs w:val="20"/>
        </w:rPr>
      </w:pPr>
      <w:r w:rsidRPr="007B0BFF">
        <w:rPr>
          <w:rFonts w:ascii="Tahoma" w:eastAsia="Arial Unicode MS" w:hAnsi="Tahoma" w:cs="Tahoma"/>
          <w:color w:val="000000"/>
          <w:sz w:val="20"/>
          <w:szCs w:val="20"/>
        </w:rPr>
        <w:t>— når det er bestemt til anvendelse med henblik på bevarelse af det naturlige miljø inden for rammerne af bevarelsen af de genetiske ressourcer omhandlet i artikel 22a, litra b), idet blandingerne i så fald kan indeholde frø af foderplanter og frø af planter, der ikke er foderplanter i dette direktivs forstand.</w:t>
      </w:r>
    </w:p>
    <w:p w:rsidR="007B0BFF" w:rsidRPr="007B0BFF" w:rsidRDefault="007B0BFF" w:rsidP="007B0BFF">
      <w:pPr>
        <w:pStyle w:val="norm"/>
        <w:rPr>
          <w:rFonts w:ascii="Tahoma" w:eastAsia="Arial Unicode MS" w:hAnsi="Tahoma" w:cs="Tahoma"/>
          <w:color w:val="000000"/>
          <w:sz w:val="20"/>
          <w:szCs w:val="20"/>
        </w:rPr>
      </w:pPr>
      <w:r w:rsidRPr="007B0BFF">
        <w:rPr>
          <w:rFonts w:ascii="Tahoma" w:eastAsia="Arial Unicode MS" w:hAnsi="Tahoma" w:cs="Tahoma"/>
          <w:color w:val="000000"/>
          <w:sz w:val="20"/>
          <w:szCs w:val="20"/>
        </w:rPr>
        <w:t>I de tilfælde, der er nævnt i første og andet led, er det en forudsætning, at blandingernes forskellige komponenter, hvis de tilhører en af de plantearter, der er opregnet i direktiv 66/401/EØF, 66/402/EØF, 69/208/EØF eller 70/458/EØF, før blanding opfylder de for dem gældende afsætningsbestemmelser.</w:t>
      </w:r>
    </w:p>
    <w:p w:rsidR="007B0BFF" w:rsidRPr="007B0BFF" w:rsidRDefault="007B0BFF" w:rsidP="007B0BFF">
      <w:pPr>
        <w:pStyle w:val="norm"/>
        <w:rPr>
          <w:rFonts w:ascii="Tahoma" w:eastAsia="Arial Unicode MS" w:hAnsi="Tahoma" w:cs="Tahoma"/>
          <w:color w:val="000000"/>
          <w:sz w:val="20"/>
          <w:szCs w:val="20"/>
        </w:rPr>
      </w:pPr>
      <w:r w:rsidRPr="007B0BFF">
        <w:rPr>
          <w:rFonts w:ascii="Tahoma" w:eastAsia="Arial Unicode MS" w:hAnsi="Tahoma" w:cs="Tahoma"/>
          <w:color w:val="000000"/>
          <w:sz w:val="20"/>
          <w:szCs w:val="20"/>
        </w:rPr>
        <w:t>Andre betingelser, herunder angivelse på etiketten af den tekniske tilladelse til virksomheder til at fremstille frøblandinger, kontrol med fremstillingen af blandingerne og udtagelse af prøver af varepartierne og af de producerede blandinger, fastsættes efter proceduren i artikel 21.</w:t>
      </w:r>
    </w:p>
    <w:p w:rsidR="007B0BFF" w:rsidRPr="007B0BFF" w:rsidRDefault="007B0BFF" w:rsidP="007B0BFF">
      <w:pPr>
        <w:pStyle w:val="norm"/>
        <w:rPr>
          <w:rFonts w:ascii="Tahoma" w:eastAsia="Arial Unicode MS" w:hAnsi="Tahoma" w:cs="Tahoma"/>
          <w:color w:val="000000"/>
          <w:sz w:val="20"/>
          <w:szCs w:val="20"/>
        </w:rPr>
      </w:pPr>
      <w:r w:rsidRPr="007B0BFF">
        <w:rPr>
          <w:rFonts w:ascii="Tahoma" w:eastAsia="Arial Unicode MS" w:hAnsi="Tahoma" w:cs="Tahoma"/>
          <w:color w:val="000000"/>
          <w:sz w:val="20"/>
          <w:szCs w:val="20"/>
        </w:rPr>
        <w:t>I det tilfælde, der er nævnt i tredje led, fastsættes betingelserne for, at blandingerne kan bringes i handelen, efter proceduren i artikel 21.</w:t>
      </w:r>
    </w:p>
    <w:p w:rsidR="00B821CE" w:rsidRDefault="00B821CE" w:rsidP="0075126E">
      <w:pPr>
        <w:pStyle w:val="norm"/>
        <w:rPr>
          <w:rFonts w:ascii="Tahoma" w:eastAsia="Arial Unicode MS" w:hAnsi="Tahoma" w:cs="Tahoma"/>
          <w:color w:val="000000"/>
          <w:sz w:val="20"/>
          <w:szCs w:val="20"/>
        </w:rPr>
      </w:pPr>
    </w:p>
    <w:p w:rsidR="0055636F" w:rsidRPr="0055636F" w:rsidRDefault="007C7FB7">
      <w:pPr>
        <w:spacing w:after="120"/>
        <w:rPr>
          <w:rFonts w:ascii="Tahoma" w:hAnsi="Tahoma" w:cs="Tahoma"/>
          <w:b/>
          <w:sz w:val="20"/>
        </w:rPr>
      </w:pPr>
      <w:r>
        <w:rPr>
          <w:rFonts w:ascii="Tahoma" w:hAnsi="Tahoma" w:cs="Tahoma"/>
          <w:b/>
          <w:sz w:val="20"/>
        </w:rPr>
        <w:t xml:space="preserve">BEKENDTGØRELSE om </w:t>
      </w:r>
      <w:r w:rsidR="0055636F" w:rsidRPr="0055636F">
        <w:rPr>
          <w:rFonts w:ascii="Tahoma" w:hAnsi="Tahoma" w:cs="Tahoma"/>
          <w:b/>
          <w:sz w:val="20"/>
        </w:rPr>
        <w:t xml:space="preserve">markfrø </w:t>
      </w:r>
      <w:r w:rsidR="0055636F" w:rsidRPr="0055636F">
        <w:rPr>
          <w:rStyle w:val="kortnavn2"/>
          <w:b/>
          <w:sz w:val="20"/>
          <w:szCs w:val="20"/>
        </w:rPr>
        <w:t>nr</w:t>
      </w:r>
      <w:r w:rsidR="0055636F">
        <w:rPr>
          <w:rStyle w:val="kortnavn2"/>
          <w:b/>
          <w:sz w:val="20"/>
          <w:szCs w:val="20"/>
        </w:rPr>
        <w:t>.</w:t>
      </w:r>
      <w:r w:rsidR="0055636F" w:rsidRPr="0055636F">
        <w:rPr>
          <w:rStyle w:val="kortnavn2"/>
          <w:b/>
          <w:sz w:val="20"/>
          <w:szCs w:val="20"/>
        </w:rPr>
        <w:t xml:space="preserve"> 98 af 29/01/2015</w:t>
      </w:r>
      <w:r w:rsidR="00D26763">
        <w:rPr>
          <w:rStyle w:val="kortnavn2"/>
          <w:b/>
          <w:sz w:val="20"/>
          <w:szCs w:val="20"/>
        </w:rPr>
        <w:t>, med senere ændringer</w:t>
      </w:r>
    </w:p>
    <w:p w:rsidR="0055636F" w:rsidRPr="0055636F" w:rsidRDefault="0055636F" w:rsidP="0055636F">
      <w:pPr>
        <w:pStyle w:val="paragrafgruppeoverskrift"/>
        <w:rPr>
          <w:sz w:val="20"/>
          <w:szCs w:val="20"/>
        </w:rPr>
      </w:pPr>
      <w:r w:rsidRPr="0055636F">
        <w:rPr>
          <w:sz w:val="20"/>
          <w:szCs w:val="20"/>
        </w:rPr>
        <w:t xml:space="preserve">Frøblandinger </w:t>
      </w:r>
    </w:p>
    <w:p w:rsidR="0055636F" w:rsidRPr="0055636F" w:rsidRDefault="0055636F" w:rsidP="0055636F">
      <w:pPr>
        <w:pStyle w:val="paragraf"/>
        <w:rPr>
          <w:sz w:val="20"/>
          <w:szCs w:val="20"/>
        </w:rPr>
      </w:pPr>
      <w:r w:rsidRPr="0055636F">
        <w:rPr>
          <w:rStyle w:val="paragrafnr1"/>
          <w:sz w:val="20"/>
          <w:szCs w:val="20"/>
        </w:rPr>
        <w:t>§ 20.</w:t>
      </w:r>
      <w:r w:rsidRPr="0055636F">
        <w:rPr>
          <w:sz w:val="20"/>
          <w:szCs w:val="20"/>
        </w:rPr>
        <w:t xml:space="preserve"> Partier af slægter og arter, der er omfattet af denne bekendtgørelse, bekendtgørelse om sædekorn og bekendtgørelse om grønsagsfrø må blandes og sælges til avl af foderplanter. Blandinger, der indeholder frø af andre arter end dem, der er omfattet af ovennævnte bekendtgørelser, må ikke sælges til avl af foderplanter. Partierne skal før blanding overholde betingelserne for salg efter disse bekendtgørelser. §§ 22 og 23 gælder tilsvarende.</w:t>
      </w:r>
    </w:p>
    <w:p w:rsidR="0055636F" w:rsidRPr="0055636F" w:rsidRDefault="0055636F" w:rsidP="0055636F">
      <w:pPr>
        <w:pStyle w:val="stk2"/>
        <w:rPr>
          <w:sz w:val="20"/>
          <w:szCs w:val="20"/>
        </w:rPr>
      </w:pPr>
      <w:r w:rsidRPr="0055636F">
        <w:rPr>
          <w:rStyle w:val="stknr1"/>
          <w:sz w:val="20"/>
          <w:szCs w:val="20"/>
        </w:rPr>
        <w:t>Stk. 2.</w:t>
      </w:r>
      <w:r w:rsidRPr="0055636F">
        <w:rPr>
          <w:sz w:val="20"/>
          <w:szCs w:val="20"/>
        </w:rPr>
        <w:t xml:space="preserve"> Partier af sorter af græsser der ikke er godkendt til foderbrug, må ikke indgå i blandingen, jf. stk. 1.</w:t>
      </w:r>
    </w:p>
    <w:p w:rsidR="0055636F" w:rsidRPr="0055636F" w:rsidRDefault="0055636F" w:rsidP="0055636F">
      <w:pPr>
        <w:pStyle w:val="stk2"/>
        <w:rPr>
          <w:sz w:val="20"/>
          <w:szCs w:val="20"/>
        </w:rPr>
      </w:pPr>
      <w:r w:rsidRPr="0055636F">
        <w:rPr>
          <w:rStyle w:val="stknr1"/>
          <w:sz w:val="20"/>
          <w:szCs w:val="20"/>
        </w:rPr>
        <w:t>Stk. 3.</w:t>
      </w:r>
      <w:r w:rsidRPr="0055636F">
        <w:rPr>
          <w:sz w:val="20"/>
          <w:szCs w:val="20"/>
        </w:rPr>
        <w:t xml:space="preserve"> Partier af forskellige arter og sorter omfattet af denne bekendtgørelse må på bestilling af den endelige forbruger af frøet opdeles og uden særlig mærkning sælges i småpakninger, jf. § 22, som »Specialblanding«. Pakningerne må ikke videresælges. Specialblandinger skal have en anden sammensætning end frøblandinger anført på virksomhedens bestillingsliste.</w:t>
      </w:r>
    </w:p>
    <w:p w:rsidR="0055636F" w:rsidRPr="0055636F" w:rsidRDefault="0055636F" w:rsidP="0055636F">
      <w:pPr>
        <w:pStyle w:val="stk2"/>
        <w:rPr>
          <w:sz w:val="20"/>
          <w:szCs w:val="20"/>
        </w:rPr>
      </w:pPr>
      <w:r w:rsidRPr="0055636F">
        <w:rPr>
          <w:rStyle w:val="stknr1"/>
          <w:sz w:val="20"/>
          <w:szCs w:val="20"/>
        </w:rPr>
        <w:t>Stk. 4.</w:t>
      </w:r>
      <w:r w:rsidRPr="0055636F">
        <w:rPr>
          <w:sz w:val="20"/>
          <w:szCs w:val="20"/>
        </w:rPr>
        <w:t xml:space="preserve"> Blandinger skal mærkes efter bestemmelserne i bilag 6 og fremstilles under prøvetagerens tilsyn.</w:t>
      </w:r>
    </w:p>
    <w:p w:rsidR="00E41563" w:rsidRDefault="0055636F" w:rsidP="00D26763">
      <w:pPr>
        <w:pStyle w:val="stk2"/>
        <w:rPr>
          <w:sz w:val="20"/>
          <w:szCs w:val="20"/>
        </w:rPr>
      </w:pPr>
      <w:r w:rsidRPr="0055636F">
        <w:rPr>
          <w:rStyle w:val="stknr1"/>
          <w:sz w:val="20"/>
          <w:szCs w:val="20"/>
        </w:rPr>
        <w:t>Stk. 5.</w:t>
      </w:r>
      <w:r w:rsidRPr="0055636F">
        <w:rPr>
          <w:sz w:val="20"/>
          <w:szCs w:val="20"/>
        </w:rPr>
        <w:t xml:space="preserve"> Virksomhederne skal føre regnskab over forbrug og salg af frø, der sælges efter stk. 1, og 3.</w:t>
      </w:r>
    </w:p>
    <w:p w:rsidR="00E41563" w:rsidRDefault="00E41563">
      <w:pPr>
        <w:spacing w:line="240" w:lineRule="auto"/>
        <w:rPr>
          <w:sz w:val="20"/>
        </w:rPr>
      </w:pPr>
    </w:p>
    <w:p w:rsidR="0071024D" w:rsidRPr="0071024D" w:rsidRDefault="0071024D" w:rsidP="0071024D">
      <w:pPr>
        <w:spacing w:before="300" w:after="100" w:line="240" w:lineRule="auto"/>
        <w:jc w:val="center"/>
        <w:rPr>
          <w:rFonts w:ascii="Tahoma" w:hAnsi="Tahoma" w:cs="Tahoma"/>
          <w:i/>
          <w:iCs/>
          <w:color w:val="000000"/>
          <w:sz w:val="17"/>
          <w:szCs w:val="17"/>
          <w:lang w:eastAsia="da-DK"/>
        </w:rPr>
      </w:pPr>
      <w:r w:rsidRPr="0071024D">
        <w:rPr>
          <w:rFonts w:ascii="Tahoma" w:hAnsi="Tahoma" w:cs="Tahoma"/>
          <w:i/>
          <w:iCs/>
          <w:color w:val="000000"/>
          <w:sz w:val="17"/>
          <w:szCs w:val="17"/>
          <w:lang w:eastAsia="da-DK"/>
        </w:rPr>
        <w:t xml:space="preserve">Særligt om produktion og handel med </w:t>
      </w:r>
      <w:proofErr w:type="spellStart"/>
      <w:r w:rsidRPr="0071024D">
        <w:rPr>
          <w:rFonts w:ascii="Tahoma" w:hAnsi="Tahoma" w:cs="Tahoma"/>
          <w:i/>
          <w:iCs/>
          <w:color w:val="000000"/>
          <w:sz w:val="17"/>
          <w:szCs w:val="17"/>
          <w:lang w:eastAsia="da-DK"/>
        </w:rPr>
        <w:t>miljøfrøblandinger</w:t>
      </w:r>
      <w:proofErr w:type="spellEnd"/>
      <w:r w:rsidRPr="0071024D">
        <w:rPr>
          <w:rFonts w:ascii="Tahoma" w:hAnsi="Tahoma" w:cs="Tahoma"/>
          <w:i/>
          <w:iCs/>
          <w:color w:val="000000"/>
          <w:sz w:val="17"/>
          <w:szCs w:val="17"/>
          <w:lang w:eastAsia="da-DK"/>
        </w:rPr>
        <w:t xml:space="preserve"> </w:t>
      </w:r>
    </w:p>
    <w:p w:rsidR="0071024D" w:rsidRPr="0071024D" w:rsidRDefault="0071024D" w:rsidP="0071024D">
      <w:pPr>
        <w:spacing w:before="200" w:line="240" w:lineRule="auto"/>
        <w:ind w:firstLine="240"/>
        <w:rPr>
          <w:rFonts w:ascii="Tahoma" w:hAnsi="Tahoma" w:cs="Tahoma"/>
          <w:color w:val="000000"/>
          <w:sz w:val="17"/>
          <w:szCs w:val="17"/>
          <w:lang w:eastAsia="da-DK"/>
        </w:rPr>
      </w:pPr>
      <w:r w:rsidRPr="0071024D">
        <w:rPr>
          <w:rFonts w:ascii="Tahoma" w:hAnsi="Tahoma" w:cs="Tahoma"/>
          <w:b/>
          <w:bCs/>
          <w:color w:val="000000"/>
          <w:sz w:val="17"/>
          <w:szCs w:val="17"/>
          <w:lang w:eastAsia="da-DK"/>
        </w:rPr>
        <w:t>§ 41.</w:t>
      </w:r>
      <w:r w:rsidRPr="0071024D">
        <w:rPr>
          <w:rFonts w:ascii="Tahoma" w:hAnsi="Tahoma" w:cs="Tahoma"/>
          <w:color w:val="000000"/>
          <w:sz w:val="17"/>
          <w:szCs w:val="17"/>
          <w:lang w:eastAsia="da-DK"/>
        </w:rPr>
        <w:t xml:space="preserve"> Med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xml:space="preserve"> forstås i denne bekendtgørelse blandinger af frø, der er bestemt til at blive anvendt med henblik på at bevare det naturlige miljø og de plantegenetiske ressourcer.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xml:space="preserve"> baserer sig på frø fra naturlige eller delvis naturlige naturtyper i bevaringsværdige kildeområder.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xml:space="preserve"> består af frø af slægter, arter og i givet fald underarter, der er typiske for disse naturtyper. Sådanne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xml:space="preserve"> kan indeholde foderplanter omfattet af denne bekendtgørelse og derudover frø af planter, der ikke er foderplanter efter denne bekendtgørelse</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2.</w:t>
      </w:r>
      <w:r w:rsidRPr="0071024D">
        <w:rPr>
          <w:rFonts w:ascii="Tahoma" w:hAnsi="Tahoma" w:cs="Tahoma"/>
          <w:color w:val="000000"/>
          <w:sz w:val="17"/>
          <w:szCs w:val="17"/>
          <w:lang w:eastAsia="da-DK"/>
        </w:rPr>
        <w:t xml:space="preserve"> Produktion og handel med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xml:space="preserve"> må kun finde sted efter forudgående tilladelse fra NaturErhvervstyrelsen. Produktion og handel må kun foregå i oprindelsesregionen. Danmark betragtes som én samlet region.</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3.</w:t>
      </w:r>
      <w:r w:rsidRPr="0071024D">
        <w:rPr>
          <w:rFonts w:ascii="Tahoma" w:hAnsi="Tahoma" w:cs="Tahoma"/>
          <w:color w:val="000000"/>
          <w:sz w:val="17"/>
          <w:szCs w:val="17"/>
          <w:lang w:eastAsia="da-DK"/>
        </w:rPr>
        <w:t xml:space="preserve"> Bestemmelserne i §§ 1-2, § 24, stk. 1 og 2, og § 25 finder tilsvarende anvendelse for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w:t>
      </w:r>
    </w:p>
    <w:p w:rsidR="0071024D" w:rsidRPr="0071024D" w:rsidRDefault="0071024D" w:rsidP="0071024D">
      <w:pPr>
        <w:spacing w:before="200" w:line="240" w:lineRule="auto"/>
        <w:ind w:firstLine="240"/>
        <w:rPr>
          <w:rFonts w:ascii="Tahoma" w:hAnsi="Tahoma" w:cs="Tahoma"/>
          <w:color w:val="000000"/>
          <w:sz w:val="17"/>
          <w:szCs w:val="17"/>
          <w:lang w:eastAsia="da-DK"/>
        </w:rPr>
      </w:pPr>
      <w:r w:rsidRPr="0071024D">
        <w:rPr>
          <w:rFonts w:ascii="Tahoma" w:hAnsi="Tahoma" w:cs="Tahoma"/>
          <w:b/>
          <w:bCs/>
          <w:color w:val="000000"/>
          <w:sz w:val="17"/>
          <w:szCs w:val="17"/>
          <w:lang w:eastAsia="da-DK"/>
        </w:rPr>
        <w:t>§ 42.</w:t>
      </w:r>
      <w:r w:rsidRPr="0071024D">
        <w:rPr>
          <w:rFonts w:ascii="Tahoma" w:hAnsi="Tahoma" w:cs="Tahoma"/>
          <w:color w:val="000000"/>
          <w:sz w:val="17"/>
          <w:szCs w:val="17"/>
          <w:lang w:eastAsia="da-DK"/>
        </w:rPr>
        <w:t xml:space="preserve"> Tilladelse kan opnås til handel med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der</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lastRenderedPageBreak/>
        <w:t>1) indsamles direkte fra et kildeområde, eller</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2) fremstilles (opformeres) af særskilt dyrkede afgrøder, på grundlag af frø indsamlet i et kildeområde.</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2.</w:t>
      </w:r>
      <w:r w:rsidRPr="0071024D">
        <w:rPr>
          <w:rFonts w:ascii="Tahoma" w:hAnsi="Tahoma" w:cs="Tahoma"/>
          <w:color w:val="000000"/>
          <w:sz w:val="17"/>
          <w:szCs w:val="17"/>
          <w:lang w:eastAsia="da-DK"/>
        </w:rPr>
        <w:t xml:space="preserve"> Ved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der fremstilles (opformeres) særskilt forstås i denne bekendtgørelse en blanding der er fremstillet i henhold til følgende proces:</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1) Frø af individuelle arter, der samles på indsamlingsstedet.</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2) Frøene opformeres uden for indsamlingsstedet som enkelte arter.</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3) Frøene af disse arter blandes derefter for at skabe en blanding, der er sammensat af disse slægter, arter og i givet fald underarter, som er typiske for naturtypen på indsamlingsstedet.</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3.</w:t>
      </w:r>
      <w:r w:rsidRPr="0071024D">
        <w:rPr>
          <w:rFonts w:ascii="Tahoma" w:hAnsi="Tahoma" w:cs="Tahoma"/>
          <w:color w:val="000000"/>
          <w:sz w:val="17"/>
          <w:szCs w:val="17"/>
          <w:lang w:eastAsia="da-DK"/>
        </w:rPr>
        <w:t xml:space="preserve"> Ved kildeområde forstås i denne bekendtgørelse, et naturligt afgrænset område:</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1) der er omfattet af naturbeskyttelseslovens kapitel 2 (Natura 2000-område),</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2) der er beskyttet efter naturbeskyttelsesloven § 3 (beskyttede naturtyper),</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3) der er beskyttet efter naturbeskyttelseslovens § 8 (klitfredede områder),</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4) der er fredet efter naturbeskyttelseslovens kapitel 6 (fredede områder), eller</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5) beliggende i et område omfattet af lov om nationalparker.</w:t>
      </w:r>
    </w:p>
    <w:p w:rsidR="0071024D" w:rsidRPr="0071024D" w:rsidRDefault="0071024D" w:rsidP="0071024D">
      <w:pPr>
        <w:spacing w:before="200" w:line="240" w:lineRule="auto"/>
        <w:ind w:firstLine="240"/>
        <w:rPr>
          <w:rFonts w:ascii="Tahoma" w:hAnsi="Tahoma" w:cs="Tahoma"/>
          <w:color w:val="000000"/>
          <w:sz w:val="17"/>
          <w:szCs w:val="17"/>
          <w:lang w:eastAsia="da-DK"/>
        </w:rPr>
      </w:pPr>
      <w:r w:rsidRPr="0071024D">
        <w:rPr>
          <w:rFonts w:ascii="Tahoma" w:hAnsi="Tahoma" w:cs="Tahoma"/>
          <w:b/>
          <w:bCs/>
          <w:color w:val="000000"/>
          <w:sz w:val="17"/>
          <w:szCs w:val="17"/>
          <w:lang w:eastAsia="da-DK"/>
        </w:rPr>
        <w:t>§ 43.</w:t>
      </w:r>
      <w:r w:rsidRPr="0071024D">
        <w:rPr>
          <w:rFonts w:ascii="Tahoma" w:hAnsi="Tahoma" w:cs="Tahoma"/>
          <w:color w:val="000000"/>
          <w:sz w:val="17"/>
          <w:szCs w:val="17"/>
          <w:lang w:eastAsia="da-DK"/>
        </w:rPr>
        <w:t xml:space="preserve"> Ansøgning om tilladelse til handel med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xml:space="preserve"> skal indgives til NaturErhvervstyrelsen senest 1. marts i produktionsåret. Ansøgningen skal ske på et ansøgningsskema udformet af styrelsen. Skemaet kan fås ved henvendelse til NaturErhvervstyrelsen, eller kan findes på styrelsens hjemmeside. Ansøgningen skal ledsages af</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1) oplysninger om kildeområde og kildeområdets beskyttelsesstatus, jf. § 42, stk. 3,</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2) oplysninger om beliggenheden af det kildeområde, hvor den påtænkte indsamling skal finde sted,</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3) en skitse med GPS-koordinater for det påtænkte indsamlingssted,</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4) oplysninger om indsamlingsstedets vegetation (slægter, arter, underarter og omtrentlige procentuel forekomst),</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 xml:space="preserve">5) mængden af frø af </w:t>
      </w:r>
      <w:proofErr w:type="spellStart"/>
      <w:r w:rsidRPr="0071024D">
        <w:rPr>
          <w:rFonts w:ascii="Tahoma" w:hAnsi="Tahoma" w:cs="Tahoma"/>
          <w:color w:val="000000"/>
          <w:sz w:val="17"/>
          <w:szCs w:val="17"/>
          <w:lang w:eastAsia="da-DK"/>
        </w:rPr>
        <w:t>miljøfrøblandingerne</w:t>
      </w:r>
      <w:proofErr w:type="spellEnd"/>
      <w:r w:rsidRPr="0071024D">
        <w:rPr>
          <w:rFonts w:ascii="Tahoma" w:hAnsi="Tahoma" w:cs="Tahoma"/>
          <w:color w:val="000000"/>
          <w:sz w:val="17"/>
          <w:szCs w:val="17"/>
          <w:lang w:eastAsia="da-DK"/>
        </w:rPr>
        <w:t>, der søges om tilladelses til at handle, og</w:t>
      </w:r>
    </w:p>
    <w:p w:rsidR="0071024D" w:rsidRPr="0071024D" w:rsidRDefault="0071024D" w:rsidP="0071024D">
      <w:pPr>
        <w:spacing w:line="240" w:lineRule="auto"/>
        <w:ind w:left="280"/>
        <w:rPr>
          <w:rFonts w:ascii="Tahoma" w:hAnsi="Tahoma" w:cs="Tahoma"/>
          <w:color w:val="000000"/>
          <w:sz w:val="17"/>
          <w:szCs w:val="17"/>
          <w:lang w:eastAsia="da-DK"/>
        </w:rPr>
      </w:pPr>
      <w:r w:rsidRPr="0071024D">
        <w:rPr>
          <w:rFonts w:ascii="Tahoma" w:hAnsi="Tahoma" w:cs="Tahoma"/>
          <w:color w:val="000000"/>
          <w:sz w:val="17"/>
          <w:szCs w:val="17"/>
          <w:lang w:eastAsia="da-DK"/>
        </w:rPr>
        <w:t>6) år for påtænkt handel.</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2.</w:t>
      </w:r>
      <w:r w:rsidRPr="0071024D">
        <w:rPr>
          <w:rFonts w:ascii="Tahoma" w:hAnsi="Tahoma" w:cs="Tahoma"/>
          <w:color w:val="000000"/>
          <w:sz w:val="17"/>
          <w:szCs w:val="17"/>
          <w:lang w:eastAsia="da-DK"/>
        </w:rPr>
        <w:t xml:space="preserve"> Ansøgninger vedrørende tilladelse til handel med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xml:space="preserve"> af særskilt dyrkede afgrøder, skal endvidere vedlægges oplysninger om størrelsen og beliggenheden af de påtænkte opformeringsarealer.</w:t>
      </w:r>
    </w:p>
    <w:p w:rsidR="0071024D" w:rsidRPr="0071024D" w:rsidRDefault="0071024D" w:rsidP="0071024D">
      <w:pPr>
        <w:spacing w:before="200" w:line="240" w:lineRule="auto"/>
        <w:ind w:firstLine="240"/>
        <w:rPr>
          <w:rFonts w:ascii="Tahoma" w:hAnsi="Tahoma" w:cs="Tahoma"/>
          <w:color w:val="000000"/>
          <w:sz w:val="17"/>
          <w:szCs w:val="17"/>
          <w:lang w:eastAsia="da-DK"/>
        </w:rPr>
      </w:pPr>
      <w:r w:rsidRPr="0071024D">
        <w:rPr>
          <w:rFonts w:ascii="Tahoma" w:hAnsi="Tahoma" w:cs="Tahoma"/>
          <w:b/>
          <w:bCs/>
          <w:color w:val="000000"/>
          <w:sz w:val="17"/>
          <w:szCs w:val="17"/>
          <w:lang w:eastAsia="da-DK"/>
        </w:rPr>
        <w:t>§ 44.</w:t>
      </w:r>
      <w:r w:rsidRPr="0071024D">
        <w:rPr>
          <w:rFonts w:ascii="Tahoma" w:hAnsi="Tahoma" w:cs="Tahoma"/>
          <w:color w:val="000000"/>
          <w:sz w:val="17"/>
          <w:szCs w:val="17"/>
          <w:lang w:eastAsia="da-DK"/>
        </w:rPr>
        <w:t xml:space="preserve"> Indsamling af frø, der skal indgå i en </w:t>
      </w:r>
      <w:proofErr w:type="spellStart"/>
      <w:r w:rsidRPr="0071024D">
        <w:rPr>
          <w:rFonts w:ascii="Tahoma" w:hAnsi="Tahoma" w:cs="Tahoma"/>
          <w:color w:val="000000"/>
          <w:sz w:val="17"/>
          <w:szCs w:val="17"/>
          <w:lang w:eastAsia="da-DK"/>
        </w:rPr>
        <w:t>miljøfrøblanding</w:t>
      </w:r>
      <w:proofErr w:type="spellEnd"/>
      <w:r w:rsidRPr="0071024D">
        <w:rPr>
          <w:rFonts w:ascii="Tahoma" w:hAnsi="Tahoma" w:cs="Tahoma"/>
          <w:color w:val="000000"/>
          <w:sz w:val="17"/>
          <w:szCs w:val="17"/>
          <w:lang w:eastAsia="da-DK"/>
        </w:rPr>
        <w:t>, skal ske i et kildeområde på et indsamlingssted, der ikke har været tilsået i de seneste 40 år inden datoen for ansøgningen om tilladelse.</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2.</w:t>
      </w:r>
      <w:r w:rsidRPr="0071024D">
        <w:rPr>
          <w:rFonts w:ascii="Tahoma" w:hAnsi="Tahoma" w:cs="Tahoma"/>
          <w:color w:val="000000"/>
          <w:sz w:val="17"/>
          <w:szCs w:val="17"/>
          <w:lang w:eastAsia="da-DK"/>
        </w:rPr>
        <w:t xml:space="preserve"> Indsamlingen af frø skal ske på en måde, der sikrer, at </w:t>
      </w:r>
      <w:proofErr w:type="spellStart"/>
      <w:r w:rsidRPr="0071024D">
        <w:rPr>
          <w:rFonts w:ascii="Tahoma" w:hAnsi="Tahoma" w:cs="Tahoma"/>
          <w:color w:val="000000"/>
          <w:sz w:val="17"/>
          <w:szCs w:val="17"/>
          <w:lang w:eastAsia="da-DK"/>
        </w:rPr>
        <w:t>miljøfrøblandingen</w:t>
      </w:r>
      <w:proofErr w:type="spellEnd"/>
      <w:r w:rsidRPr="0071024D">
        <w:rPr>
          <w:rFonts w:ascii="Tahoma" w:hAnsi="Tahoma" w:cs="Tahoma"/>
          <w:color w:val="000000"/>
          <w:sz w:val="17"/>
          <w:szCs w:val="17"/>
          <w:lang w:eastAsia="da-DK"/>
        </w:rPr>
        <w:t xml:space="preserve"> kommer til at bestå af slægter, arter og i givet fald underarter, der er typiske for naturtypen på indsamlingsstedet.</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3.</w:t>
      </w:r>
      <w:r w:rsidRPr="0071024D">
        <w:rPr>
          <w:rFonts w:ascii="Tahoma" w:hAnsi="Tahoma" w:cs="Tahoma"/>
          <w:color w:val="000000"/>
          <w:sz w:val="17"/>
          <w:szCs w:val="17"/>
          <w:lang w:eastAsia="da-DK"/>
        </w:rPr>
        <w:t xml:space="preserve"> Indsamlingen skal ske i overensstemmelse med de restriktioner og på de vilkår, som følger af kildeområdets status.</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4.</w:t>
      </w:r>
      <w:r w:rsidRPr="0071024D">
        <w:rPr>
          <w:rFonts w:ascii="Tahoma" w:hAnsi="Tahoma" w:cs="Tahoma"/>
          <w:color w:val="000000"/>
          <w:sz w:val="17"/>
          <w:szCs w:val="17"/>
          <w:lang w:eastAsia="da-DK"/>
        </w:rPr>
        <w:t xml:space="preserve"> Virksomheden skal i forbindelse med ansøgningen godtgøre, at betingelserne i stk. 1-3 er opfyldt.</w:t>
      </w:r>
    </w:p>
    <w:p w:rsidR="0071024D" w:rsidRPr="0071024D" w:rsidRDefault="0071024D" w:rsidP="0071024D">
      <w:pPr>
        <w:spacing w:before="200" w:line="240" w:lineRule="auto"/>
        <w:ind w:firstLine="240"/>
        <w:rPr>
          <w:rFonts w:ascii="Tahoma" w:hAnsi="Tahoma" w:cs="Tahoma"/>
          <w:color w:val="000000"/>
          <w:sz w:val="17"/>
          <w:szCs w:val="17"/>
          <w:lang w:eastAsia="da-DK"/>
        </w:rPr>
      </w:pPr>
      <w:r w:rsidRPr="0071024D">
        <w:rPr>
          <w:rFonts w:ascii="Tahoma" w:hAnsi="Tahoma" w:cs="Tahoma"/>
          <w:b/>
          <w:bCs/>
          <w:color w:val="000000"/>
          <w:sz w:val="17"/>
          <w:szCs w:val="17"/>
          <w:lang w:eastAsia="da-DK"/>
        </w:rPr>
        <w:t>§ 45.</w:t>
      </w:r>
      <w:r w:rsidRPr="0071024D">
        <w:rPr>
          <w:rFonts w:ascii="Tahoma" w:hAnsi="Tahoma" w:cs="Tahoma"/>
          <w:color w:val="000000"/>
          <w:sz w:val="17"/>
          <w:szCs w:val="17"/>
          <w:lang w:eastAsia="da-DK"/>
        </w:rPr>
        <w:t xml:space="preserve"> Artssammensætningen i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xml:space="preserve">, der indsamles direkte i et kildeområde, jf. § 42, og frøenes spireevne, skal være således, at </w:t>
      </w:r>
      <w:proofErr w:type="spellStart"/>
      <w:r w:rsidRPr="0071024D">
        <w:rPr>
          <w:rFonts w:ascii="Tahoma" w:hAnsi="Tahoma" w:cs="Tahoma"/>
          <w:color w:val="000000"/>
          <w:sz w:val="17"/>
          <w:szCs w:val="17"/>
          <w:lang w:eastAsia="da-DK"/>
        </w:rPr>
        <w:t>miljøfrøblandingen</w:t>
      </w:r>
      <w:proofErr w:type="spellEnd"/>
      <w:r w:rsidRPr="0071024D">
        <w:rPr>
          <w:rFonts w:ascii="Tahoma" w:hAnsi="Tahoma" w:cs="Tahoma"/>
          <w:color w:val="000000"/>
          <w:sz w:val="17"/>
          <w:szCs w:val="17"/>
          <w:lang w:eastAsia="da-DK"/>
        </w:rPr>
        <w:t xml:space="preserve"> kan genskabe den naturtype, der findes på indsamlingsstedet.</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2.</w:t>
      </w:r>
      <w:r w:rsidRPr="0071024D">
        <w:rPr>
          <w:rFonts w:ascii="Tahoma" w:hAnsi="Tahoma" w:cs="Tahoma"/>
          <w:color w:val="000000"/>
          <w:sz w:val="17"/>
          <w:szCs w:val="17"/>
          <w:lang w:eastAsia="da-DK"/>
        </w:rPr>
        <w:t xml:space="preserve"> Det maksimale indhold af arter, og i givet fald underarter, som ikke opfylder stk. 1, må ikke overstige 1 vægtprocent. Det maksimale indhold af skræppe (</w:t>
      </w:r>
      <w:proofErr w:type="spellStart"/>
      <w:r w:rsidRPr="0071024D">
        <w:rPr>
          <w:rFonts w:ascii="Tahoma" w:hAnsi="Tahoma" w:cs="Tahoma"/>
          <w:i/>
          <w:iCs/>
          <w:color w:val="000000"/>
          <w:sz w:val="17"/>
          <w:szCs w:val="17"/>
          <w:lang w:eastAsia="da-DK"/>
        </w:rPr>
        <w:t>Rumex</w:t>
      </w:r>
      <w:proofErr w:type="spellEnd"/>
      <w:r w:rsidRPr="0071024D">
        <w:rPr>
          <w:rFonts w:ascii="Tahoma" w:hAnsi="Tahoma" w:cs="Tahoma"/>
          <w:color w:val="000000"/>
          <w:sz w:val="17"/>
          <w:szCs w:val="17"/>
          <w:lang w:eastAsia="da-DK"/>
        </w:rPr>
        <w:t xml:space="preserve"> </w:t>
      </w:r>
      <w:proofErr w:type="spellStart"/>
      <w:r w:rsidRPr="0071024D">
        <w:rPr>
          <w:rFonts w:ascii="Tahoma" w:hAnsi="Tahoma" w:cs="Tahoma"/>
          <w:color w:val="000000"/>
          <w:sz w:val="17"/>
          <w:szCs w:val="17"/>
          <w:lang w:eastAsia="da-DK"/>
        </w:rPr>
        <w:t>spp</w:t>
      </w:r>
      <w:proofErr w:type="spellEnd"/>
      <w:r w:rsidRPr="0071024D">
        <w:rPr>
          <w:rFonts w:ascii="Tahoma" w:hAnsi="Tahoma" w:cs="Tahoma"/>
          <w:color w:val="000000"/>
          <w:sz w:val="17"/>
          <w:szCs w:val="17"/>
          <w:lang w:eastAsia="da-DK"/>
        </w:rPr>
        <w:t xml:space="preserve">.) udover </w:t>
      </w:r>
      <w:proofErr w:type="spellStart"/>
      <w:r w:rsidRPr="0071024D">
        <w:rPr>
          <w:rFonts w:ascii="Tahoma" w:hAnsi="Tahoma" w:cs="Tahoma"/>
          <w:color w:val="000000"/>
          <w:sz w:val="17"/>
          <w:szCs w:val="17"/>
          <w:lang w:eastAsia="da-DK"/>
        </w:rPr>
        <w:t>rødknæ</w:t>
      </w:r>
      <w:proofErr w:type="spellEnd"/>
      <w:r w:rsidRPr="0071024D">
        <w:rPr>
          <w:rFonts w:ascii="Tahoma" w:hAnsi="Tahoma" w:cs="Tahoma"/>
          <w:color w:val="000000"/>
          <w:sz w:val="17"/>
          <w:szCs w:val="17"/>
          <w:lang w:eastAsia="da-DK"/>
        </w:rPr>
        <w:t xml:space="preserve"> (</w:t>
      </w:r>
      <w:proofErr w:type="spellStart"/>
      <w:r w:rsidRPr="0071024D">
        <w:rPr>
          <w:rFonts w:ascii="Tahoma" w:hAnsi="Tahoma" w:cs="Tahoma"/>
          <w:i/>
          <w:iCs/>
          <w:color w:val="000000"/>
          <w:sz w:val="17"/>
          <w:szCs w:val="17"/>
          <w:lang w:eastAsia="da-DK"/>
        </w:rPr>
        <w:t>Rumex</w:t>
      </w:r>
      <w:proofErr w:type="spellEnd"/>
      <w:r w:rsidRPr="0071024D">
        <w:rPr>
          <w:rFonts w:ascii="Tahoma" w:hAnsi="Tahoma" w:cs="Tahoma"/>
          <w:i/>
          <w:iCs/>
          <w:color w:val="000000"/>
          <w:sz w:val="17"/>
          <w:szCs w:val="17"/>
          <w:lang w:eastAsia="da-DK"/>
        </w:rPr>
        <w:t xml:space="preserve"> </w:t>
      </w:r>
      <w:proofErr w:type="spellStart"/>
      <w:r w:rsidRPr="0071024D">
        <w:rPr>
          <w:rFonts w:ascii="Tahoma" w:hAnsi="Tahoma" w:cs="Tahoma"/>
          <w:i/>
          <w:iCs/>
          <w:color w:val="000000"/>
          <w:sz w:val="17"/>
          <w:szCs w:val="17"/>
          <w:lang w:eastAsia="da-DK"/>
        </w:rPr>
        <w:t>acetosella</w:t>
      </w:r>
      <w:proofErr w:type="spellEnd"/>
      <w:r w:rsidRPr="0071024D">
        <w:rPr>
          <w:rFonts w:ascii="Tahoma" w:hAnsi="Tahoma" w:cs="Tahoma"/>
          <w:color w:val="000000"/>
          <w:sz w:val="17"/>
          <w:szCs w:val="17"/>
          <w:lang w:eastAsia="da-DK"/>
        </w:rPr>
        <w:t>) og strandskræppe (</w:t>
      </w:r>
      <w:proofErr w:type="spellStart"/>
      <w:r w:rsidRPr="0071024D">
        <w:rPr>
          <w:rFonts w:ascii="Tahoma" w:hAnsi="Tahoma" w:cs="Tahoma"/>
          <w:i/>
          <w:iCs/>
          <w:color w:val="000000"/>
          <w:sz w:val="17"/>
          <w:szCs w:val="17"/>
          <w:lang w:eastAsia="da-DK"/>
        </w:rPr>
        <w:t>Rumex</w:t>
      </w:r>
      <w:proofErr w:type="spellEnd"/>
      <w:r w:rsidRPr="0071024D">
        <w:rPr>
          <w:rFonts w:ascii="Tahoma" w:hAnsi="Tahoma" w:cs="Tahoma"/>
          <w:i/>
          <w:iCs/>
          <w:color w:val="000000"/>
          <w:sz w:val="17"/>
          <w:szCs w:val="17"/>
          <w:lang w:eastAsia="da-DK"/>
        </w:rPr>
        <w:t xml:space="preserve"> </w:t>
      </w:r>
      <w:proofErr w:type="spellStart"/>
      <w:r w:rsidRPr="0071024D">
        <w:rPr>
          <w:rFonts w:ascii="Tahoma" w:hAnsi="Tahoma" w:cs="Tahoma"/>
          <w:i/>
          <w:iCs/>
          <w:color w:val="000000"/>
          <w:sz w:val="17"/>
          <w:szCs w:val="17"/>
          <w:lang w:eastAsia="da-DK"/>
        </w:rPr>
        <w:t>maritimus</w:t>
      </w:r>
      <w:proofErr w:type="spellEnd"/>
      <w:r w:rsidRPr="0071024D">
        <w:rPr>
          <w:rFonts w:ascii="Tahoma" w:hAnsi="Tahoma" w:cs="Tahoma"/>
          <w:color w:val="000000"/>
          <w:sz w:val="17"/>
          <w:szCs w:val="17"/>
          <w:lang w:eastAsia="da-DK"/>
        </w:rPr>
        <w:t>) må ikke overstige 0,05 vægtprocent.</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3.</w:t>
      </w:r>
      <w:r w:rsidRPr="0071024D">
        <w:rPr>
          <w:rFonts w:ascii="Tahoma" w:hAnsi="Tahoma" w:cs="Tahoma"/>
          <w:color w:val="000000"/>
          <w:sz w:val="17"/>
          <w:szCs w:val="17"/>
          <w:lang w:eastAsia="da-DK"/>
        </w:rPr>
        <w:t xml:space="preserve"> Blandingen må ikke indeholde frø af flyvehavre (</w:t>
      </w:r>
      <w:proofErr w:type="spellStart"/>
      <w:r w:rsidRPr="0071024D">
        <w:rPr>
          <w:rFonts w:ascii="Tahoma" w:hAnsi="Tahoma" w:cs="Tahoma"/>
          <w:i/>
          <w:iCs/>
          <w:color w:val="000000"/>
          <w:sz w:val="17"/>
          <w:szCs w:val="17"/>
          <w:lang w:eastAsia="da-DK"/>
        </w:rPr>
        <w:t>Avena</w:t>
      </w:r>
      <w:proofErr w:type="spellEnd"/>
      <w:r w:rsidRPr="0071024D">
        <w:rPr>
          <w:rFonts w:ascii="Tahoma" w:hAnsi="Tahoma" w:cs="Tahoma"/>
          <w:i/>
          <w:iCs/>
          <w:color w:val="000000"/>
          <w:sz w:val="17"/>
          <w:szCs w:val="17"/>
          <w:lang w:eastAsia="da-DK"/>
        </w:rPr>
        <w:t xml:space="preserve"> </w:t>
      </w:r>
      <w:proofErr w:type="spellStart"/>
      <w:r w:rsidRPr="0071024D">
        <w:rPr>
          <w:rFonts w:ascii="Tahoma" w:hAnsi="Tahoma" w:cs="Tahoma"/>
          <w:i/>
          <w:iCs/>
          <w:color w:val="000000"/>
          <w:sz w:val="17"/>
          <w:szCs w:val="17"/>
          <w:lang w:eastAsia="da-DK"/>
        </w:rPr>
        <w:t>fatua</w:t>
      </w:r>
      <w:proofErr w:type="spellEnd"/>
      <w:r w:rsidRPr="0071024D">
        <w:rPr>
          <w:rFonts w:ascii="Tahoma" w:hAnsi="Tahoma" w:cs="Tahoma"/>
          <w:color w:val="000000"/>
          <w:sz w:val="17"/>
          <w:szCs w:val="17"/>
          <w:lang w:eastAsia="da-DK"/>
        </w:rPr>
        <w:t>), gold havre (</w:t>
      </w:r>
      <w:proofErr w:type="spellStart"/>
      <w:r w:rsidRPr="0071024D">
        <w:rPr>
          <w:rFonts w:ascii="Tahoma" w:hAnsi="Tahoma" w:cs="Tahoma"/>
          <w:i/>
          <w:iCs/>
          <w:color w:val="000000"/>
          <w:sz w:val="17"/>
          <w:szCs w:val="17"/>
          <w:lang w:eastAsia="da-DK"/>
        </w:rPr>
        <w:t>Avena</w:t>
      </w:r>
      <w:proofErr w:type="spellEnd"/>
      <w:r w:rsidRPr="0071024D">
        <w:rPr>
          <w:rFonts w:ascii="Tahoma" w:hAnsi="Tahoma" w:cs="Tahoma"/>
          <w:i/>
          <w:iCs/>
          <w:color w:val="000000"/>
          <w:sz w:val="17"/>
          <w:szCs w:val="17"/>
          <w:lang w:eastAsia="da-DK"/>
        </w:rPr>
        <w:t xml:space="preserve"> </w:t>
      </w:r>
      <w:proofErr w:type="spellStart"/>
      <w:r w:rsidRPr="0071024D">
        <w:rPr>
          <w:rFonts w:ascii="Tahoma" w:hAnsi="Tahoma" w:cs="Tahoma"/>
          <w:i/>
          <w:iCs/>
          <w:color w:val="000000"/>
          <w:sz w:val="17"/>
          <w:szCs w:val="17"/>
          <w:lang w:eastAsia="da-DK"/>
        </w:rPr>
        <w:t>sterilis</w:t>
      </w:r>
      <w:proofErr w:type="spellEnd"/>
      <w:r w:rsidRPr="0071024D">
        <w:rPr>
          <w:rFonts w:ascii="Tahoma" w:hAnsi="Tahoma" w:cs="Tahoma"/>
          <w:color w:val="000000"/>
          <w:sz w:val="17"/>
          <w:szCs w:val="17"/>
          <w:lang w:eastAsia="da-DK"/>
        </w:rPr>
        <w:t>), eller silke (</w:t>
      </w:r>
      <w:proofErr w:type="spellStart"/>
      <w:r w:rsidRPr="0071024D">
        <w:rPr>
          <w:rFonts w:ascii="Tahoma" w:hAnsi="Tahoma" w:cs="Tahoma"/>
          <w:i/>
          <w:iCs/>
          <w:color w:val="000000"/>
          <w:sz w:val="17"/>
          <w:szCs w:val="17"/>
          <w:lang w:eastAsia="da-DK"/>
        </w:rPr>
        <w:t>Cuscuta</w:t>
      </w:r>
      <w:proofErr w:type="spellEnd"/>
      <w:r w:rsidRPr="0071024D">
        <w:rPr>
          <w:rFonts w:ascii="Tahoma" w:hAnsi="Tahoma" w:cs="Tahoma"/>
          <w:color w:val="000000"/>
          <w:sz w:val="17"/>
          <w:szCs w:val="17"/>
          <w:lang w:eastAsia="da-DK"/>
        </w:rPr>
        <w:t xml:space="preserve"> </w:t>
      </w:r>
      <w:proofErr w:type="spellStart"/>
      <w:r w:rsidRPr="0071024D">
        <w:rPr>
          <w:rFonts w:ascii="Tahoma" w:hAnsi="Tahoma" w:cs="Tahoma"/>
          <w:color w:val="000000"/>
          <w:sz w:val="17"/>
          <w:szCs w:val="17"/>
          <w:lang w:eastAsia="da-DK"/>
        </w:rPr>
        <w:t>spp</w:t>
      </w:r>
      <w:proofErr w:type="spellEnd"/>
      <w:r w:rsidRPr="0071024D">
        <w:rPr>
          <w:rFonts w:ascii="Tahoma" w:hAnsi="Tahoma" w:cs="Tahoma"/>
          <w:color w:val="000000"/>
          <w:sz w:val="17"/>
          <w:szCs w:val="17"/>
          <w:lang w:eastAsia="da-DK"/>
        </w:rPr>
        <w:t>.).</w:t>
      </w:r>
    </w:p>
    <w:p w:rsidR="0071024D" w:rsidRPr="0071024D" w:rsidRDefault="0071024D" w:rsidP="0071024D">
      <w:pPr>
        <w:spacing w:before="200" w:line="240" w:lineRule="auto"/>
        <w:ind w:firstLine="240"/>
        <w:rPr>
          <w:rFonts w:ascii="Tahoma" w:hAnsi="Tahoma" w:cs="Tahoma"/>
          <w:color w:val="000000"/>
          <w:sz w:val="17"/>
          <w:szCs w:val="17"/>
          <w:lang w:eastAsia="da-DK"/>
        </w:rPr>
      </w:pPr>
      <w:r w:rsidRPr="0071024D">
        <w:rPr>
          <w:rFonts w:ascii="Tahoma" w:hAnsi="Tahoma" w:cs="Tahoma"/>
          <w:b/>
          <w:bCs/>
          <w:color w:val="000000"/>
          <w:sz w:val="17"/>
          <w:szCs w:val="17"/>
          <w:lang w:eastAsia="da-DK"/>
        </w:rPr>
        <w:t>§ 46.</w:t>
      </w:r>
      <w:r w:rsidRPr="0071024D">
        <w:rPr>
          <w:rFonts w:ascii="Tahoma" w:hAnsi="Tahoma" w:cs="Tahoma"/>
          <w:color w:val="000000"/>
          <w:sz w:val="17"/>
          <w:szCs w:val="17"/>
          <w:lang w:eastAsia="da-DK"/>
        </w:rPr>
        <w:t xml:space="preserve"> Bestanddelene af en </w:t>
      </w:r>
      <w:proofErr w:type="spellStart"/>
      <w:r w:rsidRPr="0071024D">
        <w:rPr>
          <w:rFonts w:ascii="Tahoma" w:hAnsi="Tahoma" w:cs="Tahoma"/>
          <w:color w:val="000000"/>
          <w:sz w:val="17"/>
          <w:szCs w:val="17"/>
          <w:lang w:eastAsia="da-DK"/>
        </w:rPr>
        <w:t>miljøfrøblanding</w:t>
      </w:r>
      <w:proofErr w:type="spellEnd"/>
      <w:r w:rsidRPr="0071024D">
        <w:rPr>
          <w:rFonts w:ascii="Tahoma" w:hAnsi="Tahoma" w:cs="Tahoma"/>
          <w:color w:val="000000"/>
          <w:sz w:val="17"/>
          <w:szCs w:val="17"/>
          <w:lang w:eastAsia="da-DK"/>
        </w:rPr>
        <w:t>, der fremstilles af særskilt dyrkede afgrøder, skal opfylde kravene i bilag 5, afsnit I, litra C, jf. bilag 5, afsnit I, litra A, tabel 1, kolonne 3-8, og bilag 5, afsnit I, litra A, note 17 og 18.</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2.</w:t>
      </w:r>
      <w:r w:rsidRPr="0071024D">
        <w:rPr>
          <w:rFonts w:ascii="Tahoma" w:hAnsi="Tahoma" w:cs="Tahoma"/>
          <w:color w:val="000000"/>
          <w:sz w:val="17"/>
          <w:szCs w:val="17"/>
          <w:lang w:eastAsia="da-DK"/>
        </w:rPr>
        <w:t xml:space="preserve"> Opformering af særskilt dyrkede afgrøder kan maksimalt finde sted i 5 generationer.</w:t>
      </w:r>
    </w:p>
    <w:p w:rsidR="0071024D" w:rsidRPr="0071024D" w:rsidRDefault="0071024D" w:rsidP="0071024D">
      <w:pPr>
        <w:spacing w:before="200" w:line="240" w:lineRule="auto"/>
        <w:ind w:firstLine="240"/>
        <w:rPr>
          <w:rFonts w:ascii="Tahoma" w:hAnsi="Tahoma" w:cs="Tahoma"/>
          <w:color w:val="000000"/>
          <w:sz w:val="17"/>
          <w:szCs w:val="17"/>
          <w:lang w:eastAsia="da-DK"/>
        </w:rPr>
      </w:pPr>
      <w:r w:rsidRPr="0071024D">
        <w:rPr>
          <w:rFonts w:ascii="Tahoma" w:hAnsi="Tahoma" w:cs="Tahoma"/>
          <w:b/>
          <w:bCs/>
          <w:color w:val="000000"/>
          <w:sz w:val="17"/>
          <w:szCs w:val="17"/>
          <w:lang w:eastAsia="da-DK"/>
        </w:rPr>
        <w:t>§ 47.</w:t>
      </w:r>
      <w:r w:rsidRPr="0071024D">
        <w:rPr>
          <w:rFonts w:ascii="Tahoma" w:hAnsi="Tahoma" w:cs="Tahoma"/>
          <w:color w:val="000000"/>
          <w:sz w:val="17"/>
          <w:szCs w:val="17"/>
          <w:lang w:eastAsia="da-DK"/>
        </w:rPr>
        <w:t xml:space="preserve"> Virksomheden skal, i forbindelse med ansøgning om tilladelse til opformering af særskilt dyrkede afgrøder med henblik på salg som </w:t>
      </w:r>
      <w:proofErr w:type="spellStart"/>
      <w:r w:rsidRPr="0071024D">
        <w:rPr>
          <w:rFonts w:ascii="Tahoma" w:hAnsi="Tahoma" w:cs="Tahoma"/>
          <w:color w:val="000000"/>
          <w:sz w:val="17"/>
          <w:szCs w:val="17"/>
          <w:lang w:eastAsia="da-DK"/>
        </w:rPr>
        <w:t>miljøfrøblanding</w:t>
      </w:r>
      <w:proofErr w:type="spellEnd"/>
      <w:r w:rsidRPr="0071024D">
        <w:rPr>
          <w:rFonts w:ascii="Tahoma" w:hAnsi="Tahoma" w:cs="Tahoma"/>
          <w:color w:val="000000"/>
          <w:sz w:val="17"/>
          <w:szCs w:val="17"/>
          <w:lang w:eastAsia="da-DK"/>
        </w:rPr>
        <w:t>, foranledige, at der udtages en prøve til undersøgelse af, om blandingen overholder kravene i § 46. Prøven kan udtages og undersøges af virksomheden. Virksomheden kan anmode NaturErhvervstyrelsen om at udtage prøven. Omkostninger til prøvetagning og analyse afholdes af virksomheden.</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2.</w:t>
      </w:r>
      <w:r w:rsidRPr="0071024D">
        <w:rPr>
          <w:rFonts w:ascii="Tahoma" w:hAnsi="Tahoma" w:cs="Tahoma"/>
          <w:color w:val="000000"/>
          <w:sz w:val="17"/>
          <w:szCs w:val="17"/>
          <w:lang w:eastAsia="da-DK"/>
        </w:rPr>
        <w:t xml:space="preserve"> Prøven skal udtages efter bestemmelserne i styrelsens instruks i prøvetagning af frø, og skal undersøges i overensstemmelse med gældende internationale metoder og styrelsens anvisninger.</w:t>
      </w:r>
    </w:p>
    <w:p w:rsidR="0071024D" w:rsidRPr="0071024D" w:rsidRDefault="0071024D" w:rsidP="0071024D">
      <w:pPr>
        <w:spacing w:line="240" w:lineRule="auto"/>
        <w:ind w:firstLine="240"/>
        <w:rPr>
          <w:rFonts w:ascii="Tahoma" w:hAnsi="Tahoma" w:cs="Tahoma"/>
          <w:color w:val="000000"/>
          <w:sz w:val="17"/>
          <w:szCs w:val="17"/>
          <w:lang w:eastAsia="da-DK"/>
        </w:rPr>
      </w:pPr>
      <w:r w:rsidRPr="0071024D">
        <w:rPr>
          <w:rFonts w:ascii="Tahoma" w:hAnsi="Tahoma" w:cs="Tahoma"/>
          <w:i/>
          <w:iCs/>
          <w:color w:val="000000"/>
          <w:sz w:val="17"/>
          <w:szCs w:val="17"/>
          <w:lang w:eastAsia="da-DK"/>
        </w:rPr>
        <w:t>Stk. 3.</w:t>
      </w:r>
      <w:r w:rsidRPr="0071024D">
        <w:rPr>
          <w:rFonts w:ascii="Tahoma" w:hAnsi="Tahoma" w:cs="Tahoma"/>
          <w:color w:val="000000"/>
          <w:sz w:val="17"/>
          <w:szCs w:val="17"/>
          <w:lang w:eastAsia="da-DK"/>
        </w:rPr>
        <w:t xml:space="preserve"> Virksomheden skal efter anmodning fra NaturErhvervstyrelsen fremsende kopi af analysebeviset. Prøven skal opbevares i mindst to år til brug for eventuel kontrol.</w:t>
      </w:r>
    </w:p>
    <w:p w:rsidR="0071024D" w:rsidRPr="0071024D" w:rsidRDefault="0071024D" w:rsidP="0071024D">
      <w:pPr>
        <w:spacing w:before="200" w:line="240" w:lineRule="auto"/>
        <w:ind w:firstLine="240"/>
        <w:rPr>
          <w:rFonts w:ascii="Tahoma" w:hAnsi="Tahoma" w:cs="Tahoma"/>
          <w:color w:val="000000"/>
          <w:sz w:val="17"/>
          <w:szCs w:val="17"/>
          <w:lang w:eastAsia="da-DK"/>
        </w:rPr>
      </w:pPr>
      <w:r w:rsidRPr="0071024D">
        <w:rPr>
          <w:rFonts w:ascii="Tahoma" w:hAnsi="Tahoma" w:cs="Tahoma"/>
          <w:b/>
          <w:bCs/>
          <w:color w:val="000000"/>
          <w:sz w:val="17"/>
          <w:szCs w:val="17"/>
          <w:lang w:eastAsia="da-DK"/>
        </w:rPr>
        <w:t>§ 48.</w:t>
      </w:r>
      <w:r w:rsidRPr="0071024D">
        <w:rPr>
          <w:rFonts w:ascii="Tahoma" w:hAnsi="Tahoma" w:cs="Tahoma"/>
          <w:color w:val="000000"/>
          <w:sz w:val="17"/>
          <w:szCs w:val="17"/>
          <w:lang w:eastAsia="da-DK"/>
        </w:rPr>
        <w:t xml:space="preserve"> NaturErhvervstyrelsen meddeler på grundlag af ansøgningen, jf. § 43, den mængde af frøblandingen, virksomheden må bringe i handlen i de efterfølgende sæsoner. Den samlede mængde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xml:space="preserve"> der bringes i handel i det enkelte produktionsår, må ikke overstige 30 t.</w:t>
      </w:r>
    </w:p>
    <w:p w:rsidR="0071024D" w:rsidRPr="0071024D" w:rsidRDefault="0071024D" w:rsidP="0071024D">
      <w:pPr>
        <w:spacing w:before="200" w:line="240" w:lineRule="auto"/>
        <w:ind w:firstLine="240"/>
        <w:rPr>
          <w:rFonts w:ascii="Tahoma" w:hAnsi="Tahoma" w:cs="Tahoma"/>
          <w:color w:val="000000"/>
          <w:sz w:val="17"/>
          <w:szCs w:val="17"/>
          <w:lang w:eastAsia="da-DK"/>
        </w:rPr>
      </w:pPr>
      <w:r w:rsidRPr="0071024D">
        <w:rPr>
          <w:rFonts w:ascii="Tahoma" w:hAnsi="Tahoma" w:cs="Tahoma"/>
          <w:b/>
          <w:bCs/>
          <w:color w:val="000000"/>
          <w:sz w:val="17"/>
          <w:szCs w:val="17"/>
          <w:lang w:eastAsia="da-DK"/>
        </w:rPr>
        <w:t>§ 49.</w:t>
      </w:r>
      <w:r w:rsidRPr="0071024D">
        <w:rPr>
          <w:rFonts w:ascii="Tahoma" w:hAnsi="Tahoma" w:cs="Tahoma"/>
          <w:color w:val="000000"/>
          <w:sz w:val="17"/>
          <w:szCs w:val="17"/>
          <w:lang w:eastAsia="da-DK"/>
        </w:rPr>
        <w:t xml:space="preserve"> Virksomhederne skal senest den 30. juni indberette, hvilken mængde af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der er bragt i handel i den afsluttede produktionssæson.</w:t>
      </w:r>
    </w:p>
    <w:p w:rsidR="0071024D" w:rsidRPr="0071024D" w:rsidRDefault="0071024D" w:rsidP="0071024D">
      <w:pPr>
        <w:spacing w:before="200" w:line="240" w:lineRule="auto"/>
        <w:ind w:firstLine="240"/>
        <w:rPr>
          <w:rFonts w:ascii="Tahoma" w:hAnsi="Tahoma" w:cs="Tahoma"/>
          <w:color w:val="000000"/>
          <w:sz w:val="17"/>
          <w:szCs w:val="17"/>
          <w:lang w:eastAsia="da-DK"/>
        </w:rPr>
      </w:pPr>
      <w:r w:rsidRPr="0071024D">
        <w:rPr>
          <w:rFonts w:ascii="Tahoma" w:hAnsi="Tahoma" w:cs="Tahoma"/>
          <w:b/>
          <w:bCs/>
          <w:color w:val="000000"/>
          <w:sz w:val="17"/>
          <w:szCs w:val="17"/>
          <w:lang w:eastAsia="da-DK"/>
        </w:rPr>
        <w:t>§ 50.</w:t>
      </w:r>
      <w:r w:rsidRPr="0071024D">
        <w:rPr>
          <w:rFonts w:ascii="Tahoma" w:hAnsi="Tahoma" w:cs="Tahoma"/>
          <w:color w:val="000000"/>
          <w:sz w:val="17"/>
          <w:szCs w:val="17"/>
          <w:lang w:eastAsia="da-DK"/>
        </w:rPr>
        <w:t xml:space="preserve"> </w:t>
      </w:r>
      <w:proofErr w:type="spellStart"/>
      <w:r w:rsidRPr="0071024D">
        <w:rPr>
          <w:rFonts w:ascii="Tahoma" w:hAnsi="Tahoma" w:cs="Tahoma"/>
          <w:color w:val="000000"/>
          <w:sz w:val="17"/>
          <w:szCs w:val="17"/>
          <w:lang w:eastAsia="da-DK"/>
        </w:rPr>
        <w:t>Miljøfrøblandinger</w:t>
      </w:r>
      <w:proofErr w:type="spellEnd"/>
      <w:r w:rsidRPr="0071024D">
        <w:rPr>
          <w:rFonts w:ascii="Tahoma" w:hAnsi="Tahoma" w:cs="Tahoma"/>
          <w:color w:val="000000"/>
          <w:sz w:val="17"/>
          <w:szCs w:val="17"/>
          <w:lang w:eastAsia="da-DK"/>
        </w:rPr>
        <w:t xml:space="preserve"> må kun bringes i handlen i lukkede pakninger eller beholdere. Lukkeanordningen skal som minimum omfatte en etiket eller plombe. Pakningen eller beholderen skal være forseglet således, at den ødelægges ved åbning, og ikke kan anvendes igen. Pakningen eller beholderen skal være mærket efter bestemmelserne i bilag 10.</w:t>
      </w:r>
    </w:p>
    <w:p w:rsidR="0071024D" w:rsidRDefault="0071024D">
      <w:pPr>
        <w:spacing w:line="240" w:lineRule="auto"/>
        <w:rPr>
          <w:rFonts w:ascii="Tahoma" w:hAnsi="Tahoma" w:cs="Tahoma"/>
          <w:color w:val="000000"/>
          <w:sz w:val="20"/>
          <w:lang w:eastAsia="da-DK"/>
        </w:rPr>
      </w:pPr>
    </w:p>
    <w:p w:rsidR="0071024D" w:rsidRDefault="0071024D">
      <w:pPr>
        <w:spacing w:line="240" w:lineRule="auto"/>
        <w:rPr>
          <w:rFonts w:ascii="Tahoma" w:eastAsia="Arial Unicode MS" w:hAnsi="Tahoma" w:cs="Tahoma"/>
          <w:b/>
          <w:bCs/>
          <w:color w:val="000000"/>
          <w:sz w:val="20"/>
          <w:lang w:eastAsia="da-DK"/>
        </w:rPr>
      </w:pPr>
      <w:r>
        <w:rPr>
          <w:rFonts w:ascii="Tahoma" w:eastAsia="Arial Unicode MS" w:hAnsi="Tahoma" w:cs="Tahoma"/>
          <w:color w:val="000000"/>
          <w:sz w:val="20"/>
        </w:rPr>
        <w:br w:type="page"/>
      </w:r>
    </w:p>
    <w:p w:rsidR="00E41563" w:rsidRDefault="00E41563" w:rsidP="00E41563">
      <w:pPr>
        <w:pStyle w:val="title-doc-first"/>
        <w:jc w:val="right"/>
        <w:rPr>
          <w:rFonts w:ascii="Tahoma" w:eastAsia="Arial Unicode MS" w:hAnsi="Tahoma" w:cs="Tahoma"/>
          <w:color w:val="000000"/>
          <w:sz w:val="20"/>
          <w:szCs w:val="20"/>
        </w:rPr>
      </w:pPr>
      <w:r>
        <w:rPr>
          <w:rFonts w:ascii="Tahoma" w:eastAsia="Arial Unicode MS" w:hAnsi="Tahoma" w:cs="Tahoma"/>
          <w:color w:val="000000"/>
          <w:sz w:val="20"/>
          <w:szCs w:val="20"/>
        </w:rPr>
        <w:lastRenderedPageBreak/>
        <w:t>Bilag 2</w:t>
      </w:r>
    </w:p>
    <w:p w:rsidR="0055636F" w:rsidRDefault="0055636F" w:rsidP="00D26763">
      <w:pPr>
        <w:pStyle w:val="stk2"/>
        <w:rPr>
          <w:sz w:val="20"/>
          <w:szCs w:val="20"/>
        </w:rPr>
      </w:pPr>
    </w:p>
    <w:p w:rsidR="00E41563" w:rsidRDefault="00E41563" w:rsidP="00E41563">
      <w:pPr>
        <w:pStyle w:val="doc-ti"/>
        <w:rPr>
          <w:color w:val="000000"/>
        </w:rPr>
      </w:pPr>
      <w:r>
        <w:rPr>
          <w:color w:val="000000"/>
        </w:rPr>
        <w:t xml:space="preserve">KOMMISSIONENS BESLUTNING </w:t>
      </w:r>
      <w:r w:rsidR="0071024D">
        <w:rPr>
          <w:color w:val="000000"/>
        </w:rPr>
        <w:t>(2009/109/EF)</w:t>
      </w:r>
    </w:p>
    <w:p w:rsidR="00E41563" w:rsidRDefault="00E41563" w:rsidP="00E41563">
      <w:pPr>
        <w:pStyle w:val="doc-ti"/>
        <w:rPr>
          <w:color w:val="000000"/>
        </w:rPr>
      </w:pPr>
      <w:r>
        <w:rPr>
          <w:color w:val="000000"/>
        </w:rPr>
        <w:t>af 9. februar 2009</w:t>
      </w:r>
    </w:p>
    <w:p w:rsidR="00E41563" w:rsidRDefault="00E41563" w:rsidP="00E41563">
      <w:pPr>
        <w:pStyle w:val="doc-ti"/>
        <w:rPr>
          <w:color w:val="000000"/>
        </w:rPr>
      </w:pPr>
      <w:r>
        <w:rPr>
          <w:color w:val="000000"/>
        </w:rPr>
        <w:t>om gennemførelse af et tidsbegrænset forsøg vedrørende visse undtagelser for omsætningen af frøblandinger bestemt til anvendelse som foderplanter i henhold til Rådets direktiv 66/401/EØF for at afgøre, om visse arter, der ikke er opført i Rådets direktiv 66/401/EØF, 66/402/EØF, 2002/55/EF eller 2002/57/EF, opfylder kravene for at blive opført i artikel 2, stk. 1, litra A, i direktiv 66/401/EØF</w:t>
      </w:r>
    </w:p>
    <w:p w:rsidR="00E41563" w:rsidRDefault="00E41563" w:rsidP="00E41563">
      <w:pPr>
        <w:pStyle w:val="ti-tbl"/>
        <w:rPr>
          <w:color w:val="000000"/>
        </w:rPr>
      </w:pPr>
      <w:r>
        <w:rPr>
          <w:color w:val="000000"/>
        </w:rPr>
        <w:t>DE I ARTIKEL 1 OMHANDLEDE ARTER OG BETINGELSER FOR DERES GODKENDELSE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3"/>
        <w:gridCol w:w="1079"/>
        <w:gridCol w:w="1174"/>
        <w:gridCol w:w="1460"/>
        <w:gridCol w:w="2261"/>
        <w:gridCol w:w="1013"/>
        <w:gridCol w:w="1592"/>
      </w:tblGrid>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Art</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Mindste spireevne</w:t>
            </w:r>
          </w:p>
          <w:p w:rsidR="00E41563" w:rsidRDefault="00E41563">
            <w:pPr>
              <w:pStyle w:val="tbl-hdr"/>
              <w:rPr>
                <w:color w:val="000000"/>
              </w:rPr>
            </w:pPr>
            <w:r>
              <w:rPr>
                <w:color w:val="000000"/>
              </w:rPr>
              <w:t>(% af de rene frø</w:t>
            </w:r>
            <w:hyperlink r:id="rId8" w:anchor="ntr1-L_2009040DA.01002901-E0001" w:history="1">
              <w:r>
                <w:rPr>
                  <w:rStyle w:val="Hyperlink"/>
                </w:rPr>
                <w:t> (</w:t>
              </w:r>
              <w:r>
                <w:rPr>
                  <w:rStyle w:val="super"/>
                  <w:color w:val="0000FF"/>
                  <w:sz w:val="15"/>
                  <w:szCs w:val="15"/>
                  <w:u w:val="single"/>
                </w:rPr>
                <w:t>1</w:t>
              </w:r>
              <w:r>
                <w:rPr>
                  <w:rStyle w:val="Hyperlink"/>
                </w:rPr>
                <w:t>)</w:t>
              </w:r>
            </w:hyperlink>
            <w:r>
              <w:rPr>
                <w:color w:val="000000"/>
              </w:rPr>
              <w:t>)</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Mindste specifikke renhed</w:t>
            </w:r>
          </w:p>
          <w:p w:rsidR="00E41563" w:rsidRDefault="00E41563">
            <w:pPr>
              <w:pStyle w:val="tbl-hdr"/>
              <w:rPr>
                <w:color w:val="000000"/>
              </w:rPr>
            </w:pPr>
            <w:r>
              <w:rPr>
                <w:color w:val="000000"/>
              </w:rPr>
              <w:t>(vægtprocent)</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Højeste indhold af frø af andre plantearter</w:t>
            </w:r>
          </w:p>
          <w:p w:rsidR="00E41563" w:rsidRDefault="00E41563">
            <w:pPr>
              <w:pStyle w:val="tbl-hdr"/>
              <w:rPr>
                <w:color w:val="000000"/>
              </w:rPr>
            </w:pPr>
            <w:r>
              <w:rPr>
                <w:color w:val="000000"/>
              </w:rPr>
              <w:t>(vægtprocent)</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Højeste indhold af frø af andre plantearter i en prøve af den i kolonne 7 angivne vægt</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Største vægt af et parti</w:t>
            </w:r>
          </w:p>
          <w:p w:rsidR="00E41563" w:rsidRDefault="00E41563">
            <w:pPr>
              <w:pStyle w:val="tbl-hdr"/>
              <w:rPr>
                <w:color w:val="000000"/>
              </w:rPr>
            </w:pPr>
            <w:r>
              <w:rPr>
                <w:color w:val="000000"/>
              </w:rPr>
              <w:t>(ton)</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Mindstevægt af en prøve, der udtages af et parti</w:t>
            </w:r>
          </w:p>
          <w:p w:rsidR="00E41563" w:rsidRDefault="00E41563">
            <w:pPr>
              <w:pStyle w:val="tbl-hdr"/>
              <w:rPr>
                <w:color w:val="000000"/>
              </w:rPr>
            </w:pPr>
            <w:r>
              <w:rPr>
                <w:color w:val="000000"/>
              </w:rPr>
              <w:t>(gram)</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hdr"/>
              <w:rPr>
                <w:color w:val="000000"/>
              </w:rPr>
            </w:pPr>
            <w:r>
              <w:rPr>
                <w:color w:val="000000"/>
              </w:rPr>
              <w:t>7</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Biserrula</w:t>
            </w:r>
            <w:proofErr w:type="spellEnd"/>
            <w:r>
              <w:rPr>
                <w:rStyle w:val="italic"/>
                <w:color w:val="000000"/>
              </w:rPr>
              <w:t xml:space="preserve"> </w:t>
            </w:r>
            <w:proofErr w:type="spellStart"/>
            <w:r>
              <w:rPr>
                <w:rStyle w:val="italic"/>
                <w:color w:val="000000"/>
              </w:rPr>
              <w:t>pelecinus</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70 (inklusive hårde frø)</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0,5</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9"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10"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11"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30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rStyle w:val="italic"/>
                <w:color w:val="000000"/>
              </w:rPr>
              <w:t xml:space="preserve">Lotus </w:t>
            </w:r>
            <w:proofErr w:type="spellStart"/>
            <w:r>
              <w:rPr>
                <w:rStyle w:val="italic"/>
                <w:color w:val="000000"/>
              </w:rPr>
              <w:t>uliginosus</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75 (40)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97</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0,5</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12"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13"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14"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25</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rStyle w:val="italic"/>
                <w:color w:val="000000"/>
              </w:rPr>
              <w:t xml:space="preserve">Lotus </w:t>
            </w:r>
            <w:proofErr w:type="spellStart"/>
            <w:r>
              <w:rPr>
                <w:rStyle w:val="italic"/>
                <w:color w:val="000000"/>
              </w:rPr>
              <w:t>glaber</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75 (40)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97</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0,5</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15"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16"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17"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30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Medicago</w:t>
            </w:r>
            <w:proofErr w:type="spellEnd"/>
            <w:r>
              <w:rPr>
                <w:rStyle w:val="italic"/>
                <w:color w:val="000000"/>
              </w:rPr>
              <w:t xml:space="preserve"> </w:t>
            </w:r>
            <w:proofErr w:type="spellStart"/>
            <w:r>
              <w:rPr>
                <w:rStyle w:val="italic"/>
                <w:color w:val="000000"/>
              </w:rPr>
              <w:t>murex</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70 (30)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18"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19"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20"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50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Medicago</w:t>
            </w:r>
            <w:proofErr w:type="spellEnd"/>
            <w:r>
              <w:rPr>
                <w:rStyle w:val="italic"/>
                <w:color w:val="000000"/>
              </w:rPr>
              <w:t xml:space="preserve"> </w:t>
            </w:r>
            <w:proofErr w:type="spellStart"/>
            <w:r>
              <w:rPr>
                <w:rStyle w:val="italic"/>
                <w:color w:val="000000"/>
              </w:rPr>
              <w:t>polymorpha</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70 (30)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21"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22"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23"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70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Medicago</w:t>
            </w:r>
            <w:proofErr w:type="spellEnd"/>
            <w:r>
              <w:rPr>
                <w:rStyle w:val="italic"/>
                <w:color w:val="000000"/>
              </w:rPr>
              <w:t xml:space="preserve"> </w:t>
            </w:r>
            <w:proofErr w:type="spellStart"/>
            <w:r>
              <w:rPr>
                <w:rStyle w:val="italic"/>
                <w:color w:val="000000"/>
              </w:rPr>
              <w:t>rugosa</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70 (20)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24"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25"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26"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180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Medicago</w:t>
            </w:r>
            <w:proofErr w:type="spellEnd"/>
            <w:r>
              <w:rPr>
                <w:rStyle w:val="italic"/>
                <w:color w:val="000000"/>
              </w:rPr>
              <w:t xml:space="preserve"> </w:t>
            </w:r>
            <w:proofErr w:type="spellStart"/>
            <w:r>
              <w:rPr>
                <w:rStyle w:val="italic"/>
                <w:color w:val="000000"/>
              </w:rPr>
              <w:t>scutellata</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70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27"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28"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29"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400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Medicago</w:t>
            </w:r>
            <w:proofErr w:type="spellEnd"/>
            <w:r>
              <w:rPr>
                <w:rStyle w:val="italic"/>
                <w:color w:val="000000"/>
              </w:rPr>
              <w:t xml:space="preserve"> </w:t>
            </w:r>
            <w:proofErr w:type="spellStart"/>
            <w:r>
              <w:rPr>
                <w:rStyle w:val="italic"/>
                <w:color w:val="000000"/>
              </w:rPr>
              <w:t>italica</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70 (20)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30"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31"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32"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Medicago</w:t>
            </w:r>
            <w:proofErr w:type="spellEnd"/>
            <w:r>
              <w:rPr>
                <w:rStyle w:val="italic"/>
                <w:color w:val="000000"/>
              </w:rPr>
              <w:t xml:space="preserve"> </w:t>
            </w:r>
            <w:proofErr w:type="spellStart"/>
            <w:r>
              <w:rPr>
                <w:rStyle w:val="italic"/>
                <w:color w:val="000000"/>
              </w:rPr>
              <w:t>littoralis</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70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33"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34"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35"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70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Medicago</w:t>
            </w:r>
            <w:proofErr w:type="spellEnd"/>
            <w:r>
              <w:rPr>
                <w:rStyle w:val="italic"/>
                <w:color w:val="000000"/>
              </w:rPr>
              <w:t xml:space="preserve"> </w:t>
            </w:r>
            <w:proofErr w:type="spellStart"/>
            <w:r>
              <w:rPr>
                <w:rStyle w:val="italic"/>
                <w:color w:val="000000"/>
              </w:rPr>
              <w:t>truncatula</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70 (20)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36"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37"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38"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Ornithopus</w:t>
            </w:r>
            <w:proofErr w:type="spellEnd"/>
            <w:r>
              <w:rPr>
                <w:rStyle w:val="italic"/>
                <w:color w:val="000000"/>
              </w:rPr>
              <w:t xml:space="preserve"> </w:t>
            </w:r>
            <w:proofErr w:type="spellStart"/>
            <w:r>
              <w:rPr>
                <w:rStyle w:val="italic"/>
                <w:color w:val="000000"/>
              </w:rPr>
              <w:t>compressus</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75 (inklusive hårde frø)</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39"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40"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41"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120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lastRenderedPageBreak/>
              <w:t>Ornithopus</w:t>
            </w:r>
            <w:proofErr w:type="spellEnd"/>
            <w:r>
              <w:rPr>
                <w:rStyle w:val="italic"/>
                <w:color w:val="000000"/>
              </w:rPr>
              <w:t xml:space="preserve"> </w:t>
            </w:r>
            <w:proofErr w:type="spellStart"/>
            <w:r>
              <w:rPr>
                <w:rStyle w:val="italic"/>
                <w:color w:val="000000"/>
              </w:rPr>
              <w:t>sativus</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75 (inklusive hårde frø)</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42"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43"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44"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Plantago</w:t>
            </w:r>
            <w:proofErr w:type="spellEnd"/>
            <w:r>
              <w:rPr>
                <w:rStyle w:val="italic"/>
                <w:color w:val="000000"/>
              </w:rPr>
              <w:t xml:space="preserve"> </w:t>
            </w:r>
            <w:proofErr w:type="spellStart"/>
            <w:r>
              <w:rPr>
                <w:rStyle w:val="italic"/>
                <w:color w:val="000000"/>
              </w:rPr>
              <w:t>lanceolata</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75</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85</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45"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46"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47"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Trifolium</w:t>
            </w:r>
            <w:proofErr w:type="spellEnd"/>
            <w:r>
              <w:rPr>
                <w:rStyle w:val="italic"/>
                <w:color w:val="000000"/>
              </w:rPr>
              <w:t xml:space="preserve"> </w:t>
            </w:r>
            <w:proofErr w:type="spellStart"/>
            <w:r>
              <w:rPr>
                <w:rStyle w:val="italic"/>
                <w:color w:val="000000"/>
              </w:rPr>
              <w:t>fragiferum</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70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48"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49"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50"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40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Trifolium</w:t>
            </w:r>
            <w:proofErr w:type="spellEnd"/>
            <w:r>
              <w:rPr>
                <w:rStyle w:val="italic"/>
                <w:color w:val="000000"/>
              </w:rPr>
              <w:t xml:space="preserve"> </w:t>
            </w:r>
            <w:proofErr w:type="spellStart"/>
            <w:r>
              <w:rPr>
                <w:rStyle w:val="italic"/>
                <w:color w:val="000000"/>
              </w:rPr>
              <w:t>glanduliferum</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70 (30)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51"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52"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53"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Trifolium</w:t>
            </w:r>
            <w:proofErr w:type="spellEnd"/>
            <w:r>
              <w:rPr>
                <w:rStyle w:val="italic"/>
                <w:color w:val="000000"/>
              </w:rPr>
              <w:t xml:space="preserve"> </w:t>
            </w:r>
            <w:proofErr w:type="spellStart"/>
            <w:r>
              <w:rPr>
                <w:rStyle w:val="italic"/>
                <w:color w:val="000000"/>
              </w:rPr>
              <w:t>hirtum</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70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54"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55"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56"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70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Trifolium</w:t>
            </w:r>
            <w:proofErr w:type="spellEnd"/>
            <w:r>
              <w:rPr>
                <w:rStyle w:val="italic"/>
                <w:color w:val="000000"/>
              </w:rPr>
              <w:t xml:space="preserve">. </w:t>
            </w:r>
            <w:proofErr w:type="spellStart"/>
            <w:r>
              <w:rPr>
                <w:rStyle w:val="italic"/>
                <w:color w:val="000000"/>
              </w:rPr>
              <w:t>michelianum</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75 (30)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57"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58"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59"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25</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Trifolium</w:t>
            </w:r>
            <w:proofErr w:type="spellEnd"/>
            <w:r>
              <w:rPr>
                <w:rStyle w:val="italic"/>
                <w:color w:val="000000"/>
              </w:rPr>
              <w:t xml:space="preserve"> </w:t>
            </w:r>
            <w:proofErr w:type="spellStart"/>
            <w:r>
              <w:rPr>
                <w:rStyle w:val="italic"/>
                <w:color w:val="000000"/>
              </w:rPr>
              <w:t>squarrosum</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75 (20)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97</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60"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61"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62"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150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Trifolium</w:t>
            </w:r>
            <w:proofErr w:type="spellEnd"/>
            <w:r>
              <w:rPr>
                <w:rStyle w:val="italic"/>
                <w:color w:val="000000"/>
              </w:rPr>
              <w:t xml:space="preserve"> </w:t>
            </w:r>
            <w:proofErr w:type="spellStart"/>
            <w:r>
              <w:rPr>
                <w:rStyle w:val="italic"/>
                <w:color w:val="000000"/>
              </w:rPr>
              <w:t>subterraneum</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80 (40)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97</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0,5</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63"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64"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65"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250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Trifolium</w:t>
            </w:r>
            <w:proofErr w:type="spellEnd"/>
            <w:r>
              <w:rPr>
                <w:rStyle w:val="italic"/>
                <w:color w:val="000000"/>
              </w:rPr>
              <w:t xml:space="preserve"> </w:t>
            </w:r>
            <w:proofErr w:type="spellStart"/>
            <w:r>
              <w:rPr>
                <w:rStyle w:val="italic"/>
                <w:color w:val="000000"/>
              </w:rPr>
              <w:t>vesiculosum</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70 (inklusive hårde frø)</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66"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67"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68"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100</w:t>
            </w:r>
          </w:p>
        </w:tc>
      </w:tr>
      <w:tr w:rsidR="00E41563" w:rsidTr="00E415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proofErr w:type="spellStart"/>
            <w:r>
              <w:rPr>
                <w:rStyle w:val="italic"/>
                <w:color w:val="000000"/>
              </w:rPr>
              <w:t>Vicia</w:t>
            </w:r>
            <w:proofErr w:type="spellEnd"/>
            <w:r>
              <w:rPr>
                <w:rStyle w:val="italic"/>
                <w:color w:val="000000"/>
              </w:rPr>
              <w:t xml:space="preserve"> </w:t>
            </w:r>
            <w:proofErr w:type="spellStart"/>
            <w:r>
              <w:rPr>
                <w:rStyle w:val="italic"/>
                <w:color w:val="000000"/>
              </w:rPr>
              <w:t>benghalensis</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80 (20)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txt"/>
              <w:rPr>
                <w:color w:val="000000"/>
              </w:rPr>
            </w:pPr>
            <w:r>
              <w:rPr>
                <w:color w:val="000000"/>
              </w:rPr>
              <w:t>97</w:t>
            </w:r>
            <w:hyperlink r:id="rId69" w:anchor="ntr2-L_2009040DA.01002901-E0002" w:history="1">
              <w:r>
                <w:rPr>
                  <w:rStyle w:val="Hyperlink"/>
                </w:rPr>
                <w:t> (</w:t>
              </w:r>
              <w:r>
                <w:rPr>
                  <w:rStyle w:val="super"/>
                  <w:color w:val="0000FF"/>
                  <w:sz w:val="15"/>
                  <w:szCs w:val="15"/>
                  <w:u w:val="single"/>
                </w:rPr>
                <w:t>2</w:t>
              </w:r>
              <w:r>
                <w:rPr>
                  <w:rStyle w:val="Hyperlink"/>
                </w:rPr>
                <w:t>)</w:t>
              </w:r>
            </w:hyperlink>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BE0683">
            <w:pPr>
              <w:pStyle w:val="tbl-txt"/>
              <w:rPr>
                <w:color w:val="000000"/>
              </w:rPr>
            </w:pPr>
            <w:hyperlink r:id="rId70" w:anchor="ntr3-L_2009040DA.01002901-E0003" w:history="1">
              <w:r w:rsidR="00E41563">
                <w:rPr>
                  <w:rStyle w:val="Hyperlink"/>
                </w:rPr>
                <w:t> (</w:t>
              </w:r>
              <w:r w:rsidR="00E41563">
                <w:rPr>
                  <w:rStyle w:val="super"/>
                  <w:color w:val="0000FF"/>
                  <w:sz w:val="15"/>
                  <w:szCs w:val="15"/>
                  <w:u w:val="single"/>
                </w:rPr>
                <w:t>3</w:t>
              </w:r>
              <w:r w:rsidR="00E41563">
                <w:rPr>
                  <w:rStyle w:val="Hyperlink"/>
                </w:rPr>
                <w:t>)</w:t>
              </w:r>
            </w:hyperlink>
            <w:r w:rsidR="00E41563">
              <w:rPr>
                <w:color w:val="000000"/>
              </w:rPr>
              <w:t xml:space="preserve"> </w:t>
            </w:r>
            <w:hyperlink r:id="rId71" w:anchor="ntr4-L_2009040DA.01002901-E0004" w:history="1">
              <w:r w:rsidR="00E41563">
                <w:rPr>
                  <w:rStyle w:val="Hyperlink"/>
                </w:rPr>
                <w:t> (</w:t>
              </w:r>
              <w:r w:rsidR="00E41563">
                <w:rPr>
                  <w:rStyle w:val="super"/>
                  <w:color w:val="0000FF"/>
                  <w:sz w:val="15"/>
                  <w:szCs w:val="15"/>
                  <w:u w:val="single"/>
                </w:rPr>
                <w:t>4</w:t>
              </w:r>
              <w:r w:rsidR="00E41563">
                <w:rPr>
                  <w:rStyle w:val="Hyperlink"/>
                </w:rPr>
                <w:t>)</w:t>
              </w:r>
            </w:hyperlink>
            <w:r w:rsidR="00E41563">
              <w:rPr>
                <w:color w:val="000000"/>
              </w:rPr>
              <w:t xml:space="preserve"> </w:t>
            </w:r>
            <w:hyperlink r:id="rId72" w:anchor="ntr5-L_2009040DA.01002901-E0005" w:history="1">
              <w:r w:rsidR="00E41563">
                <w:rPr>
                  <w:rStyle w:val="Hyperlink"/>
                </w:rPr>
                <w:t> (</w:t>
              </w:r>
              <w:r w:rsidR="00E41563">
                <w:rPr>
                  <w:rStyle w:val="super"/>
                  <w:color w:val="0000FF"/>
                  <w:sz w:val="15"/>
                  <w:szCs w:val="15"/>
                  <w:u w:val="single"/>
                </w:rPr>
                <w:t>5</w:t>
              </w:r>
              <w:r w:rsidR="00E41563">
                <w:rPr>
                  <w:rStyle w:val="Hyperlink"/>
                </w:rPr>
                <w:t>)</w:t>
              </w:r>
            </w:hyperlink>
            <w:r w:rsidR="00E4156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hideMark/>
          </w:tcPr>
          <w:p w:rsidR="00E41563" w:rsidRDefault="00E41563">
            <w:pPr>
              <w:pStyle w:val="tbl-num"/>
              <w:rPr>
                <w:color w:val="000000"/>
              </w:rPr>
            </w:pPr>
            <w:r>
              <w:rPr>
                <w:color w:val="000000"/>
              </w:rPr>
              <w:t>1 000</w:t>
            </w:r>
          </w:p>
        </w:tc>
      </w:tr>
    </w:tbl>
    <w:p w:rsidR="00E41563" w:rsidRDefault="00BE0683" w:rsidP="00E41563">
      <w:pPr>
        <w:spacing w:before="240" w:after="60"/>
        <w:rPr>
          <w:color w:val="000000"/>
        </w:rPr>
      </w:pPr>
      <w:r>
        <w:rPr>
          <w:color w:val="000000"/>
        </w:rPr>
        <w:pict>
          <v:rect id="_x0000_i1025" style="width:96.4pt;height:.75pt" o:hrpct="200" o:hrstd="t" o:hrnoshade="t" o:hr="t" fillcolor="black" stroked="f"/>
        </w:pict>
      </w:r>
    </w:p>
    <w:p w:rsidR="00E41563" w:rsidRDefault="00BE0683" w:rsidP="00E41563">
      <w:pPr>
        <w:pStyle w:val="note"/>
        <w:rPr>
          <w:color w:val="000000"/>
        </w:rPr>
      </w:pPr>
      <w:hyperlink r:id="rId73" w:anchor="ntc1-L_2009040DA.01002901-E0001" w:history="1">
        <w:r w:rsidR="00E41563">
          <w:rPr>
            <w:rStyle w:val="Hyperlink"/>
          </w:rPr>
          <w:t>(</w:t>
        </w:r>
        <w:r w:rsidR="00E41563">
          <w:rPr>
            <w:rStyle w:val="super"/>
            <w:color w:val="0000FF"/>
            <w:sz w:val="13"/>
            <w:szCs w:val="13"/>
            <w:u w:val="single"/>
          </w:rPr>
          <w:t>1</w:t>
        </w:r>
        <w:r w:rsidR="00E41563">
          <w:rPr>
            <w:rStyle w:val="Hyperlink"/>
          </w:rPr>
          <w:t>)</w:t>
        </w:r>
      </w:hyperlink>
      <w:r w:rsidR="00E41563">
        <w:rPr>
          <w:color w:val="000000"/>
        </w:rPr>
        <w:t>  Hårde frø anses som spiredygtige frø indtil det angivne største indhold.</w:t>
      </w:r>
    </w:p>
    <w:p w:rsidR="00E41563" w:rsidRDefault="00BE0683" w:rsidP="00E41563">
      <w:pPr>
        <w:pStyle w:val="note"/>
        <w:rPr>
          <w:color w:val="000000"/>
        </w:rPr>
      </w:pPr>
      <w:hyperlink r:id="rId74" w:anchor="ntc2-L_2009040DA.01002901-E0002" w:history="1">
        <w:r w:rsidR="00E41563">
          <w:rPr>
            <w:rStyle w:val="Hyperlink"/>
          </w:rPr>
          <w:t>(</w:t>
        </w:r>
        <w:r w:rsidR="00E41563">
          <w:rPr>
            <w:rStyle w:val="super"/>
            <w:color w:val="0000FF"/>
            <w:sz w:val="13"/>
            <w:szCs w:val="13"/>
            <w:u w:val="single"/>
          </w:rPr>
          <w:t>2</w:t>
        </w:r>
        <w:r w:rsidR="00E41563">
          <w:rPr>
            <w:rStyle w:val="Hyperlink"/>
          </w:rPr>
          <w:t>)</w:t>
        </w:r>
      </w:hyperlink>
      <w:r w:rsidR="00E41563">
        <w:rPr>
          <w:color w:val="000000"/>
        </w:rPr>
        <w:t xml:space="preserve">  Et samlet indhold på 6 vægtprocent af frø af Vida </w:t>
      </w:r>
      <w:proofErr w:type="spellStart"/>
      <w:r w:rsidR="00E41563">
        <w:rPr>
          <w:color w:val="000000"/>
        </w:rPr>
        <w:t>pannonnica</w:t>
      </w:r>
      <w:proofErr w:type="spellEnd"/>
      <w:r w:rsidR="00E41563">
        <w:rPr>
          <w:color w:val="000000"/>
        </w:rPr>
        <w:t xml:space="preserve">, </w:t>
      </w:r>
      <w:proofErr w:type="spellStart"/>
      <w:r w:rsidR="00E41563">
        <w:rPr>
          <w:color w:val="000000"/>
        </w:rPr>
        <w:t>Vicia</w:t>
      </w:r>
      <w:proofErr w:type="spellEnd"/>
      <w:r w:rsidR="00E41563">
        <w:rPr>
          <w:color w:val="000000"/>
        </w:rPr>
        <w:t xml:space="preserve"> </w:t>
      </w:r>
      <w:proofErr w:type="spellStart"/>
      <w:r w:rsidR="00E41563">
        <w:rPr>
          <w:color w:val="000000"/>
        </w:rPr>
        <w:t>villosa</w:t>
      </w:r>
      <w:proofErr w:type="spellEnd"/>
      <w:r w:rsidR="00E41563">
        <w:rPr>
          <w:color w:val="000000"/>
        </w:rPr>
        <w:t xml:space="preserve"> eller beslægtede kulturarter i frø af en anden relevant art anses ikke som en urenhed.</w:t>
      </w:r>
    </w:p>
    <w:p w:rsidR="00E41563" w:rsidRDefault="00BE0683" w:rsidP="00E41563">
      <w:pPr>
        <w:pStyle w:val="note"/>
        <w:rPr>
          <w:color w:val="000000"/>
        </w:rPr>
      </w:pPr>
      <w:hyperlink r:id="rId75" w:anchor="ntc3-L_2009040DA.01002901-E0003" w:history="1">
        <w:r w:rsidR="00E41563">
          <w:rPr>
            <w:rStyle w:val="Hyperlink"/>
          </w:rPr>
          <w:t>(</w:t>
        </w:r>
        <w:r w:rsidR="00E41563">
          <w:rPr>
            <w:rStyle w:val="super"/>
            <w:color w:val="0000FF"/>
            <w:sz w:val="13"/>
            <w:szCs w:val="13"/>
            <w:u w:val="single"/>
          </w:rPr>
          <w:t>3</w:t>
        </w:r>
        <w:r w:rsidR="00E41563">
          <w:rPr>
            <w:rStyle w:val="Hyperlink"/>
          </w:rPr>
          <w:t>)</w:t>
        </w:r>
      </w:hyperlink>
      <w:r w:rsidR="00E41563">
        <w:rPr>
          <w:color w:val="000000"/>
        </w:rPr>
        <w:t xml:space="preserve">  Frø af </w:t>
      </w:r>
      <w:proofErr w:type="spellStart"/>
      <w:r w:rsidR="00E41563">
        <w:rPr>
          <w:color w:val="000000"/>
        </w:rPr>
        <w:t>Avena</w:t>
      </w:r>
      <w:proofErr w:type="spellEnd"/>
      <w:r w:rsidR="00E41563">
        <w:rPr>
          <w:color w:val="000000"/>
        </w:rPr>
        <w:t xml:space="preserve"> </w:t>
      </w:r>
      <w:proofErr w:type="spellStart"/>
      <w:r w:rsidR="00E41563">
        <w:rPr>
          <w:color w:val="000000"/>
        </w:rPr>
        <w:t>fatua</w:t>
      </w:r>
      <w:proofErr w:type="spellEnd"/>
      <w:r w:rsidR="00E41563">
        <w:rPr>
          <w:color w:val="000000"/>
        </w:rPr>
        <w:t xml:space="preserve"> og </w:t>
      </w:r>
      <w:proofErr w:type="spellStart"/>
      <w:r w:rsidR="00E41563">
        <w:rPr>
          <w:color w:val="000000"/>
        </w:rPr>
        <w:t>Avena</w:t>
      </w:r>
      <w:proofErr w:type="spellEnd"/>
      <w:r w:rsidR="00E41563">
        <w:rPr>
          <w:color w:val="000000"/>
        </w:rPr>
        <w:t xml:space="preserve"> </w:t>
      </w:r>
      <w:proofErr w:type="spellStart"/>
      <w:r w:rsidR="00E41563">
        <w:rPr>
          <w:color w:val="000000"/>
        </w:rPr>
        <w:t>sterilis</w:t>
      </w:r>
      <w:proofErr w:type="spellEnd"/>
      <w:r w:rsidR="00E41563">
        <w:rPr>
          <w:color w:val="000000"/>
        </w:rPr>
        <w:t xml:space="preserve"> må ikke forekomme i en prøve af den foreskrevne størrelse.</w:t>
      </w:r>
    </w:p>
    <w:p w:rsidR="00E41563" w:rsidRDefault="00BE0683" w:rsidP="00E41563">
      <w:pPr>
        <w:pStyle w:val="note"/>
        <w:rPr>
          <w:color w:val="000000"/>
        </w:rPr>
      </w:pPr>
      <w:hyperlink r:id="rId76" w:anchor="ntc4-L_2009040DA.01002901-E0004" w:history="1">
        <w:r w:rsidR="00E41563">
          <w:rPr>
            <w:rStyle w:val="Hyperlink"/>
          </w:rPr>
          <w:t>(</w:t>
        </w:r>
        <w:r w:rsidR="00E41563">
          <w:rPr>
            <w:rStyle w:val="super"/>
            <w:color w:val="0000FF"/>
            <w:sz w:val="13"/>
            <w:szCs w:val="13"/>
            <w:u w:val="single"/>
          </w:rPr>
          <w:t>4</w:t>
        </w:r>
        <w:r w:rsidR="00E41563">
          <w:rPr>
            <w:rStyle w:val="Hyperlink"/>
          </w:rPr>
          <w:t>)</w:t>
        </w:r>
      </w:hyperlink>
      <w:r w:rsidR="00E41563">
        <w:rPr>
          <w:color w:val="000000"/>
        </w:rPr>
        <w:t xml:space="preserve">  Forekomsten af ét frø af </w:t>
      </w:r>
      <w:proofErr w:type="spellStart"/>
      <w:r w:rsidR="00E41563">
        <w:rPr>
          <w:color w:val="000000"/>
        </w:rPr>
        <w:t>Cuscuta</w:t>
      </w:r>
      <w:proofErr w:type="spellEnd"/>
      <w:r w:rsidR="00E41563">
        <w:rPr>
          <w:color w:val="000000"/>
        </w:rPr>
        <w:t xml:space="preserve"> </w:t>
      </w:r>
      <w:proofErr w:type="spellStart"/>
      <w:r w:rsidR="00E41563">
        <w:rPr>
          <w:color w:val="000000"/>
        </w:rPr>
        <w:t>spp</w:t>
      </w:r>
      <w:proofErr w:type="spellEnd"/>
      <w:r w:rsidR="00E41563">
        <w:rPr>
          <w:color w:val="000000"/>
        </w:rPr>
        <w:t xml:space="preserve">. i en prøve, der vejer dobbelt så meget som den foreskrevne vægt, anses ikke som en urenhed, hvis en ny prøve, der vejer dobbelt så meget som den foreskrevne vægt, er helt fri for frø af </w:t>
      </w:r>
      <w:proofErr w:type="spellStart"/>
      <w:r w:rsidR="00E41563">
        <w:rPr>
          <w:color w:val="000000"/>
        </w:rPr>
        <w:t>Cuscuta</w:t>
      </w:r>
      <w:proofErr w:type="spellEnd"/>
      <w:r w:rsidR="00E41563">
        <w:rPr>
          <w:color w:val="000000"/>
        </w:rPr>
        <w:t xml:space="preserve"> </w:t>
      </w:r>
      <w:proofErr w:type="spellStart"/>
      <w:r w:rsidR="00E41563">
        <w:rPr>
          <w:color w:val="000000"/>
        </w:rPr>
        <w:t>spp</w:t>
      </w:r>
      <w:proofErr w:type="spellEnd"/>
      <w:r w:rsidR="00E41563">
        <w:rPr>
          <w:color w:val="000000"/>
        </w:rPr>
        <w:t>.</w:t>
      </w:r>
    </w:p>
    <w:p w:rsidR="00E41563" w:rsidRPr="0055636F" w:rsidRDefault="00BE0683" w:rsidP="00251F24">
      <w:pPr>
        <w:pStyle w:val="note"/>
        <w:rPr>
          <w:sz w:val="20"/>
          <w:szCs w:val="20"/>
        </w:rPr>
      </w:pPr>
      <w:hyperlink r:id="rId77" w:anchor="ntc5-L_2009040DA.01002901-E0005" w:history="1">
        <w:r w:rsidR="00E41563">
          <w:rPr>
            <w:rStyle w:val="Hyperlink"/>
          </w:rPr>
          <w:t>(</w:t>
        </w:r>
        <w:r w:rsidR="00E41563">
          <w:rPr>
            <w:rStyle w:val="super"/>
            <w:color w:val="0000FF"/>
            <w:sz w:val="13"/>
            <w:szCs w:val="13"/>
            <w:u w:val="single"/>
          </w:rPr>
          <w:t>5</w:t>
        </w:r>
        <w:r w:rsidR="00E41563">
          <w:rPr>
            <w:rStyle w:val="Hyperlink"/>
          </w:rPr>
          <w:t>)</w:t>
        </w:r>
      </w:hyperlink>
      <w:r w:rsidR="00E41563">
        <w:rPr>
          <w:color w:val="000000"/>
        </w:rPr>
        <w:t xml:space="preserve">  Forekomsten af frø af andre </w:t>
      </w:r>
      <w:proofErr w:type="spellStart"/>
      <w:r w:rsidR="00E41563">
        <w:rPr>
          <w:color w:val="000000"/>
        </w:rPr>
        <w:t>Rumex</w:t>
      </w:r>
      <w:proofErr w:type="spellEnd"/>
      <w:r w:rsidR="00E41563">
        <w:rPr>
          <w:color w:val="000000"/>
        </w:rPr>
        <w:t xml:space="preserve"> </w:t>
      </w:r>
      <w:proofErr w:type="spellStart"/>
      <w:r w:rsidR="00E41563">
        <w:rPr>
          <w:color w:val="000000"/>
        </w:rPr>
        <w:t>spp</w:t>
      </w:r>
      <w:proofErr w:type="spellEnd"/>
      <w:r w:rsidR="00E41563">
        <w:rPr>
          <w:color w:val="000000"/>
        </w:rPr>
        <w:t xml:space="preserve">. end </w:t>
      </w:r>
      <w:proofErr w:type="spellStart"/>
      <w:r w:rsidR="00E41563">
        <w:rPr>
          <w:color w:val="000000"/>
        </w:rPr>
        <w:t>Rumex</w:t>
      </w:r>
      <w:proofErr w:type="spellEnd"/>
      <w:r w:rsidR="00E41563">
        <w:rPr>
          <w:color w:val="000000"/>
        </w:rPr>
        <w:t xml:space="preserve"> </w:t>
      </w:r>
      <w:proofErr w:type="spellStart"/>
      <w:r w:rsidR="00E41563">
        <w:rPr>
          <w:color w:val="000000"/>
        </w:rPr>
        <w:t>acetosella</w:t>
      </w:r>
      <w:proofErr w:type="spellEnd"/>
      <w:r w:rsidR="00E41563">
        <w:rPr>
          <w:color w:val="000000"/>
        </w:rPr>
        <w:t xml:space="preserve"> og </w:t>
      </w:r>
      <w:proofErr w:type="spellStart"/>
      <w:r w:rsidR="00E41563">
        <w:rPr>
          <w:color w:val="000000"/>
        </w:rPr>
        <w:t>Rumex</w:t>
      </w:r>
      <w:proofErr w:type="spellEnd"/>
      <w:r w:rsidR="00E41563">
        <w:rPr>
          <w:color w:val="000000"/>
        </w:rPr>
        <w:t xml:space="preserve"> </w:t>
      </w:r>
      <w:proofErr w:type="spellStart"/>
      <w:r w:rsidR="00E41563">
        <w:rPr>
          <w:color w:val="000000"/>
        </w:rPr>
        <w:t>maritimus</w:t>
      </w:r>
      <w:proofErr w:type="spellEnd"/>
      <w:r w:rsidR="00E41563">
        <w:rPr>
          <w:color w:val="000000"/>
        </w:rPr>
        <w:t xml:space="preserve"> må ikke overstige 10 i en prøve af den foreskrevne vægt.</w:t>
      </w:r>
      <w:r w:rsidR="0071024D" w:rsidRPr="0055636F">
        <w:rPr>
          <w:sz w:val="20"/>
          <w:szCs w:val="20"/>
        </w:rPr>
        <w:t xml:space="preserve"> </w:t>
      </w:r>
    </w:p>
    <w:sectPr w:rsidR="00E41563" w:rsidRPr="0055636F" w:rsidSect="00064A00">
      <w:headerReference w:type="even" r:id="rId78"/>
      <w:headerReference w:type="default" r:id="rId79"/>
      <w:footerReference w:type="even" r:id="rId80"/>
      <w:footerReference w:type="default" r:id="rId81"/>
      <w:headerReference w:type="first" r:id="rId82"/>
      <w:footerReference w:type="first" r:id="rId83"/>
      <w:pgSz w:w="11906" w:h="16838"/>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563" w:rsidRDefault="00E41563">
      <w:r>
        <w:separator/>
      </w:r>
    </w:p>
  </w:endnote>
  <w:endnote w:type="continuationSeparator" w:id="0">
    <w:p w:rsidR="00E41563" w:rsidRDefault="00E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63" w:rsidRDefault="00E41563" w:rsidP="00AC27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41563" w:rsidRDefault="00E41563" w:rsidP="00AC270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646038"/>
      <w:docPartObj>
        <w:docPartGallery w:val="Page Numbers (Bottom of Page)"/>
        <w:docPartUnique/>
      </w:docPartObj>
    </w:sdtPr>
    <w:sdtEndPr/>
    <w:sdtContent>
      <w:p w:rsidR="00064A00" w:rsidRDefault="00064A00">
        <w:pPr>
          <w:pStyle w:val="Sidefod"/>
          <w:jc w:val="center"/>
        </w:pPr>
        <w:r>
          <w:fldChar w:fldCharType="begin"/>
        </w:r>
        <w:r>
          <w:instrText>PAGE   \* MERGEFORMAT</w:instrText>
        </w:r>
        <w:r>
          <w:fldChar w:fldCharType="separate"/>
        </w:r>
        <w:r w:rsidR="00BE0683">
          <w:rPr>
            <w:noProof/>
          </w:rPr>
          <w:t>2</w:t>
        </w:r>
        <w:r>
          <w:fldChar w:fldCharType="end"/>
        </w:r>
      </w:p>
    </w:sdtContent>
  </w:sdt>
  <w:p w:rsidR="00E41563" w:rsidRDefault="00E41563" w:rsidP="00AC270C">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78" w:rsidRDefault="00085A7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563" w:rsidRDefault="00E41563">
      <w:r>
        <w:separator/>
      </w:r>
    </w:p>
  </w:footnote>
  <w:footnote w:type="continuationSeparator" w:id="0">
    <w:p w:rsidR="00E41563" w:rsidRDefault="00E41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78" w:rsidRDefault="00085A7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00" w:rsidRPr="00064A00" w:rsidRDefault="00064A00" w:rsidP="00064A00">
    <w:pPr>
      <w:pStyle w:val="Sidehoved"/>
      <w:jc w:val="right"/>
      <w:rPr>
        <w:rFonts w:ascii="Verdana" w:hAnsi="Verdana"/>
        <w:sz w:val="20"/>
      </w:rPr>
    </w:pPr>
    <w:r w:rsidRPr="00064A00">
      <w:rPr>
        <w:rFonts w:ascii="Verdana" w:hAnsi="Verdana"/>
        <w:sz w:val="20"/>
      </w:rPr>
      <w:t>UPU bilag 42-</w:t>
    </w:r>
    <w:r w:rsidR="00085A78">
      <w:rPr>
        <w:rFonts w:ascii="Verdana" w:hAnsi="Verdana"/>
        <w:sz w:val="20"/>
      </w:rPr>
      <w:t>8</w:t>
    </w:r>
    <w:r w:rsidRPr="00064A00">
      <w:rPr>
        <w:rFonts w:ascii="Verdana" w:hAnsi="Verdana"/>
        <w:sz w:val="20"/>
      </w:rPr>
      <w:t>-B</w:t>
    </w:r>
  </w:p>
  <w:p w:rsidR="00064A00" w:rsidRDefault="00064A00" w:rsidP="00064A00">
    <w:pPr>
      <w:pStyle w:val="Sidehove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78" w:rsidRDefault="00085A7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F1AFE"/>
    <w:multiLevelType w:val="hybridMultilevel"/>
    <w:tmpl w:val="85ACB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AF417C"/>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02C3CB9"/>
    <w:multiLevelType w:val="hybridMultilevel"/>
    <w:tmpl w:val="84D6A9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9972747"/>
    <w:multiLevelType w:val="hybridMultilevel"/>
    <w:tmpl w:val="172E7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6F65C9D"/>
    <w:multiLevelType w:val="hybridMultilevel"/>
    <w:tmpl w:val="99F825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0495E98"/>
    <w:multiLevelType w:val="hybridMultilevel"/>
    <w:tmpl w:val="870AEA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73167D3"/>
    <w:multiLevelType w:val="hybridMultilevel"/>
    <w:tmpl w:val="765AFD48"/>
    <w:lvl w:ilvl="0" w:tplc="1DF20DD8">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4C"/>
    <w:rsid w:val="00017357"/>
    <w:rsid w:val="00064A00"/>
    <w:rsid w:val="00074D9D"/>
    <w:rsid w:val="00076B50"/>
    <w:rsid w:val="00082187"/>
    <w:rsid w:val="00085A78"/>
    <w:rsid w:val="000D2E15"/>
    <w:rsid w:val="000D579B"/>
    <w:rsid w:val="000D69A9"/>
    <w:rsid w:val="000E6663"/>
    <w:rsid w:val="000E7E13"/>
    <w:rsid w:val="001643B7"/>
    <w:rsid w:val="00177D14"/>
    <w:rsid w:val="001C1437"/>
    <w:rsid w:val="001C3BB2"/>
    <w:rsid w:val="002163A7"/>
    <w:rsid w:val="002258BB"/>
    <w:rsid w:val="00251F24"/>
    <w:rsid w:val="00273BF3"/>
    <w:rsid w:val="00285F0D"/>
    <w:rsid w:val="002B7C20"/>
    <w:rsid w:val="003109A5"/>
    <w:rsid w:val="003144CC"/>
    <w:rsid w:val="0031593A"/>
    <w:rsid w:val="00316C0B"/>
    <w:rsid w:val="00333B4B"/>
    <w:rsid w:val="003440A3"/>
    <w:rsid w:val="003506BE"/>
    <w:rsid w:val="0036536B"/>
    <w:rsid w:val="00390B63"/>
    <w:rsid w:val="0040010F"/>
    <w:rsid w:val="00406938"/>
    <w:rsid w:val="00406F4A"/>
    <w:rsid w:val="00413786"/>
    <w:rsid w:val="00484961"/>
    <w:rsid w:val="004873B8"/>
    <w:rsid w:val="004A31DE"/>
    <w:rsid w:val="004D615F"/>
    <w:rsid w:val="004E0B23"/>
    <w:rsid w:val="004E2445"/>
    <w:rsid w:val="00507129"/>
    <w:rsid w:val="00540095"/>
    <w:rsid w:val="00555F0A"/>
    <w:rsid w:val="0055636F"/>
    <w:rsid w:val="005815B5"/>
    <w:rsid w:val="005915DA"/>
    <w:rsid w:val="005C7CC0"/>
    <w:rsid w:val="005D0896"/>
    <w:rsid w:val="005E7F50"/>
    <w:rsid w:val="00610625"/>
    <w:rsid w:val="0061212E"/>
    <w:rsid w:val="006332AA"/>
    <w:rsid w:val="0064046A"/>
    <w:rsid w:val="00643196"/>
    <w:rsid w:val="0064552F"/>
    <w:rsid w:val="006603CF"/>
    <w:rsid w:val="00677858"/>
    <w:rsid w:val="00691906"/>
    <w:rsid w:val="006B2194"/>
    <w:rsid w:val="006F553B"/>
    <w:rsid w:val="0071024D"/>
    <w:rsid w:val="00724DC4"/>
    <w:rsid w:val="00726616"/>
    <w:rsid w:val="0075126E"/>
    <w:rsid w:val="007940BA"/>
    <w:rsid w:val="007B0BFF"/>
    <w:rsid w:val="007C7FB7"/>
    <w:rsid w:val="007D2611"/>
    <w:rsid w:val="007D688C"/>
    <w:rsid w:val="007E68F6"/>
    <w:rsid w:val="00821DCA"/>
    <w:rsid w:val="008250E7"/>
    <w:rsid w:val="008454C8"/>
    <w:rsid w:val="00854007"/>
    <w:rsid w:val="00883E8F"/>
    <w:rsid w:val="00891001"/>
    <w:rsid w:val="008D3F61"/>
    <w:rsid w:val="008E58D2"/>
    <w:rsid w:val="008F0D0F"/>
    <w:rsid w:val="00965574"/>
    <w:rsid w:val="0098179B"/>
    <w:rsid w:val="009934AE"/>
    <w:rsid w:val="00996802"/>
    <w:rsid w:val="009C6EA7"/>
    <w:rsid w:val="00A72306"/>
    <w:rsid w:val="00A75B38"/>
    <w:rsid w:val="00AB6C36"/>
    <w:rsid w:val="00AC270C"/>
    <w:rsid w:val="00AC2BD9"/>
    <w:rsid w:val="00AF6C8E"/>
    <w:rsid w:val="00B01F0A"/>
    <w:rsid w:val="00B42756"/>
    <w:rsid w:val="00B46517"/>
    <w:rsid w:val="00B821CE"/>
    <w:rsid w:val="00B87609"/>
    <w:rsid w:val="00B90B3E"/>
    <w:rsid w:val="00B95F4C"/>
    <w:rsid w:val="00BD2821"/>
    <w:rsid w:val="00BD633D"/>
    <w:rsid w:val="00BE0683"/>
    <w:rsid w:val="00C0177E"/>
    <w:rsid w:val="00C16E21"/>
    <w:rsid w:val="00C2562C"/>
    <w:rsid w:val="00C43927"/>
    <w:rsid w:val="00D028BA"/>
    <w:rsid w:val="00D26763"/>
    <w:rsid w:val="00D448C2"/>
    <w:rsid w:val="00D826C6"/>
    <w:rsid w:val="00D831CE"/>
    <w:rsid w:val="00DA3F36"/>
    <w:rsid w:val="00DD34E9"/>
    <w:rsid w:val="00DF6C9D"/>
    <w:rsid w:val="00E00808"/>
    <w:rsid w:val="00E027D7"/>
    <w:rsid w:val="00E41563"/>
    <w:rsid w:val="00E729B7"/>
    <w:rsid w:val="00E760B7"/>
    <w:rsid w:val="00EA5B51"/>
    <w:rsid w:val="00EB6049"/>
    <w:rsid w:val="00F06F2C"/>
    <w:rsid w:val="00F25B6A"/>
    <w:rsid w:val="00F47E89"/>
    <w:rsid w:val="00F511F0"/>
    <w:rsid w:val="00FB6A2A"/>
    <w:rsid w:val="00FB71E9"/>
    <w:rsid w:val="00FF63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1EF9AAE-9E2B-41AE-9E03-6E027181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95"/>
    <w:pPr>
      <w:spacing w:line="288" w:lineRule="auto"/>
    </w:pPr>
    <w:rPr>
      <w:sz w:val="24"/>
      <w:lang w:eastAsia="en-US"/>
    </w:rPr>
  </w:style>
  <w:style w:type="paragraph" w:styleId="Overskrift1">
    <w:name w:val="heading 1"/>
    <w:basedOn w:val="Normal"/>
    <w:next w:val="Normal"/>
    <w:qFormat/>
    <w:pPr>
      <w:keepNext/>
      <w:spacing w:after="240"/>
      <w:outlineLvl w:val="0"/>
    </w:pPr>
    <w:rPr>
      <w:b/>
      <w:sz w:val="26"/>
    </w:rPr>
  </w:style>
  <w:style w:type="paragraph" w:styleId="Overskrift2">
    <w:name w:val="heading 2"/>
    <w:basedOn w:val="Normal"/>
    <w:next w:val="Normal"/>
    <w:qFormat/>
    <w:pPr>
      <w:keepNext/>
      <w:spacing w:after="24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devareministeriet">
    <w:name w:val="Fødevareministeriet"/>
    <w:basedOn w:val="Normal"/>
    <w:rsid w:val="00540095"/>
  </w:style>
  <w:style w:type="paragraph" w:styleId="Sidefod">
    <w:name w:val="footer"/>
    <w:basedOn w:val="Normal"/>
    <w:link w:val="SidefodTegn"/>
    <w:uiPriority w:val="99"/>
    <w:rsid w:val="00AC270C"/>
    <w:pPr>
      <w:tabs>
        <w:tab w:val="center" w:pos="4819"/>
        <w:tab w:val="right" w:pos="9638"/>
      </w:tabs>
    </w:pPr>
  </w:style>
  <w:style w:type="character" w:styleId="Sidetal">
    <w:name w:val="page number"/>
    <w:basedOn w:val="Standardskrifttypeiafsnit"/>
    <w:rsid w:val="00AC270C"/>
  </w:style>
  <w:style w:type="character" w:styleId="Pladsholdertekst">
    <w:name w:val="Placeholder Text"/>
    <w:basedOn w:val="Standardskrifttypeiafsnit"/>
    <w:uiPriority w:val="99"/>
    <w:semiHidden/>
    <w:rsid w:val="007D2611"/>
    <w:rPr>
      <w:color w:val="808080"/>
    </w:rPr>
  </w:style>
  <w:style w:type="table" w:styleId="Tabel-Gitter">
    <w:name w:val="Table Grid"/>
    <w:basedOn w:val="Tabel-Normal"/>
    <w:rsid w:val="00D4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rsid w:val="00EB6049"/>
    <w:pPr>
      <w:spacing w:line="240" w:lineRule="auto"/>
    </w:pPr>
    <w:rPr>
      <w:sz w:val="20"/>
    </w:rPr>
  </w:style>
  <w:style w:type="character" w:customStyle="1" w:styleId="FodnotetekstTegn">
    <w:name w:val="Fodnotetekst Tegn"/>
    <w:basedOn w:val="Standardskrifttypeiafsnit"/>
    <w:link w:val="Fodnotetekst"/>
    <w:rsid w:val="00EB6049"/>
    <w:rPr>
      <w:lang w:eastAsia="en-US"/>
    </w:rPr>
  </w:style>
  <w:style w:type="character" w:styleId="Fodnotehenvisning">
    <w:name w:val="footnote reference"/>
    <w:basedOn w:val="Standardskrifttypeiafsnit"/>
    <w:rsid w:val="00EB6049"/>
    <w:rPr>
      <w:vertAlign w:val="superscript"/>
    </w:rPr>
  </w:style>
  <w:style w:type="character" w:styleId="Hyperlink">
    <w:name w:val="Hyperlink"/>
    <w:basedOn w:val="Standardskrifttypeiafsnit"/>
    <w:uiPriority w:val="99"/>
    <w:rsid w:val="00EB6049"/>
    <w:rPr>
      <w:color w:val="0563C1" w:themeColor="hyperlink"/>
      <w:u w:val="single"/>
    </w:rPr>
  </w:style>
  <w:style w:type="paragraph" w:styleId="Listeafsnit">
    <w:name w:val="List Paragraph"/>
    <w:basedOn w:val="Normal"/>
    <w:uiPriority w:val="34"/>
    <w:qFormat/>
    <w:rsid w:val="00390B63"/>
    <w:pPr>
      <w:ind w:left="720"/>
      <w:contextualSpacing/>
    </w:pPr>
  </w:style>
  <w:style w:type="paragraph" w:customStyle="1" w:styleId="modref">
    <w:name w:val="modref"/>
    <w:basedOn w:val="Normal"/>
    <w:rsid w:val="007B0BFF"/>
    <w:pPr>
      <w:spacing w:before="120" w:line="240" w:lineRule="auto"/>
    </w:pPr>
    <w:rPr>
      <w:b/>
      <w:bCs/>
      <w:szCs w:val="24"/>
      <w:lang w:eastAsia="da-DK"/>
    </w:rPr>
  </w:style>
  <w:style w:type="paragraph" w:customStyle="1" w:styleId="norm">
    <w:name w:val="norm"/>
    <w:basedOn w:val="Normal"/>
    <w:rsid w:val="007B0BFF"/>
    <w:pPr>
      <w:spacing w:before="120" w:line="240" w:lineRule="auto"/>
      <w:jc w:val="both"/>
    </w:pPr>
    <w:rPr>
      <w:szCs w:val="24"/>
      <w:lang w:eastAsia="da-DK"/>
    </w:rPr>
  </w:style>
  <w:style w:type="paragraph" w:customStyle="1" w:styleId="title-article-norm">
    <w:name w:val="title-article-norm"/>
    <w:basedOn w:val="Normal"/>
    <w:rsid w:val="007B0BFF"/>
    <w:pPr>
      <w:spacing w:before="240" w:after="120" w:line="240" w:lineRule="auto"/>
      <w:jc w:val="center"/>
    </w:pPr>
    <w:rPr>
      <w:i/>
      <w:iCs/>
      <w:szCs w:val="24"/>
      <w:lang w:eastAsia="da-DK"/>
    </w:rPr>
  </w:style>
  <w:style w:type="character" w:customStyle="1" w:styleId="boldface">
    <w:name w:val="boldface"/>
    <w:basedOn w:val="Standardskrifttypeiafsnit"/>
    <w:rsid w:val="007B0BFF"/>
    <w:rPr>
      <w:b/>
      <w:bCs/>
    </w:rPr>
  </w:style>
  <w:style w:type="paragraph" w:customStyle="1" w:styleId="title-doc-first">
    <w:name w:val="title-doc-first"/>
    <w:basedOn w:val="Normal"/>
    <w:rsid w:val="007B0BFF"/>
    <w:pPr>
      <w:spacing w:before="120" w:line="240" w:lineRule="auto"/>
      <w:jc w:val="center"/>
    </w:pPr>
    <w:rPr>
      <w:b/>
      <w:bCs/>
      <w:szCs w:val="24"/>
      <w:lang w:eastAsia="da-DK"/>
    </w:rPr>
  </w:style>
  <w:style w:type="paragraph" w:customStyle="1" w:styleId="paragrafgruppeoverskrift">
    <w:name w:val="paragrafgruppeoverskrift"/>
    <w:basedOn w:val="Normal"/>
    <w:rsid w:val="0055636F"/>
    <w:pPr>
      <w:spacing w:before="300" w:after="100" w:line="240" w:lineRule="auto"/>
      <w:jc w:val="center"/>
    </w:pPr>
    <w:rPr>
      <w:rFonts w:ascii="Tahoma" w:hAnsi="Tahoma" w:cs="Tahoma"/>
      <w:i/>
      <w:iCs/>
      <w:color w:val="000000"/>
      <w:szCs w:val="24"/>
      <w:lang w:eastAsia="da-DK"/>
    </w:rPr>
  </w:style>
  <w:style w:type="paragraph" w:customStyle="1" w:styleId="paragraf">
    <w:name w:val="paragraf"/>
    <w:basedOn w:val="Normal"/>
    <w:rsid w:val="0055636F"/>
    <w:pPr>
      <w:spacing w:before="200" w:line="240" w:lineRule="auto"/>
      <w:ind w:firstLine="240"/>
    </w:pPr>
    <w:rPr>
      <w:rFonts w:ascii="Tahoma" w:hAnsi="Tahoma" w:cs="Tahoma"/>
      <w:color w:val="000000"/>
      <w:szCs w:val="24"/>
      <w:lang w:eastAsia="da-DK"/>
    </w:rPr>
  </w:style>
  <w:style w:type="paragraph" w:customStyle="1" w:styleId="stk2">
    <w:name w:val="stk2"/>
    <w:basedOn w:val="Normal"/>
    <w:rsid w:val="0055636F"/>
    <w:pPr>
      <w:spacing w:line="240" w:lineRule="auto"/>
      <w:ind w:firstLine="240"/>
    </w:pPr>
    <w:rPr>
      <w:rFonts w:ascii="Tahoma" w:hAnsi="Tahoma" w:cs="Tahoma"/>
      <w:color w:val="000000"/>
      <w:szCs w:val="24"/>
      <w:lang w:eastAsia="da-DK"/>
    </w:rPr>
  </w:style>
  <w:style w:type="character" w:customStyle="1" w:styleId="paragrafnr1">
    <w:name w:val="paragrafnr1"/>
    <w:basedOn w:val="Standardskrifttypeiafsnit"/>
    <w:rsid w:val="0055636F"/>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55636F"/>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55636F"/>
    <w:rPr>
      <w:rFonts w:ascii="Tahoma" w:hAnsi="Tahoma" w:cs="Tahoma" w:hint="default"/>
      <w:b/>
      <w:bCs/>
      <w:color w:val="000000"/>
      <w:sz w:val="24"/>
      <w:szCs w:val="24"/>
      <w:shd w:val="clear" w:color="auto" w:fill="auto"/>
    </w:rPr>
  </w:style>
  <w:style w:type="character" w:customStyle="1" w:styleId="kortnavn2">
    <w:name w:val="kortnavn2"/>
    <w:basedOn w:val="Standardskrifttypeiafsnit"/>
    <w:rsid w:val="0055636F"/>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rsid w:val="0055636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55636F"/>
    <w:rPr>
      <w:rFonts w:ascii="Segoe UI" w:hAnsi="Segoe UI" w:cs="Segoe UI"/>
      <w:sz w:val="18"/>
      <w:szCs w:val="18"/>
      <w:lang w:eastAsia="en-US"/>
    </w:rPr>
  </w:style>
  <w:style w:type="paragraph" w:customStyle="1" w:styleId="doc-ti">
    <w:name w:val="doc-ti"/>
    <w:basedOn w:val="Normal"/>
    <w:rsid w:val="00E41563"/>
    <w:pPr>
      <w:spacing w:before="240" w:after="120" w:line="240" w:lineRule="auto"/>
      <w:jc w:val="center"/>
    </w:pPr>
    <w:rPr>
      <w:b/>
      <w:bCs/>
      <w:szCs w:val="24"/>
      <w:lang w:eastAsia="da-DK"/>
    </w:rPr>
  </w:style>
  <w:style w:type="paragraph" w:customStyle="1" w:styleId="Normal1">
    <w:name w:val="Normal1"/>
    <w:basedOn w:val="Normal"/>
    <w:rsid w:val="00E41563"/>
    <w:pPr>
      <w:spacing w:before="120" w:line="240" w:lineRule="auto"/>
      <w:jc w:val="both"/>
    </w:pPr>
    <w:rPr>
      <w:szCs w:val="24"/>
      <w:lang w:eastAsia="da-DK"/>
    </w:rPr>
  </w:style>
  <w:style w:type="character" w:customStyle="1" w:styleId="super">
    <w:name w:val="super"/>
    <w:basedOn w:val="Standardskrifttypeiafsnit"/>
    <w:rsid w:val="00E41563"/>
    <w:rPr>
      <w:sz w:val="17"/>
      <w:szCs w:val="17"/>
      <w:vertAlign w:val="superscript"/>
    </w:rPr>
  </w:style>
  <w:style w:type="paragraph" w:customStyle="1" w:styleId="ti-art">
    <w:name w:val="ti-art"/>
    <w:basedOn w:val="Normal"/>
    <w:rsid w:val="00E41563"/>
    <w:pPr>
      <w:spacing w:before="360" w:after="120" w:line="240" w:lineRule="auto"/>
      <w:jc w:val="center"/>
    </w:pPr>
    <w:rPr>
      <w:i/>
      <w:iCs/>
      <w:szCs w:val="24"/>
      <w:lang w:eastAsia="da-DK"/>
    </w:rPr>
  </w:style>
  <w:style w:type="paragraph" w:customStyle="1" w:styleId="sti-art">
    <w:name w:val="sti-art"/>
    <w:basedOn w:val="Normal"/>
    <w:rsid w:val="00E41563"/>
    <w:pPr>
      <w:spacing w:before="60" w:after="120" w:line="240" w:lineRule="auto"/>
      <w:jc w:val="center"/>
    </w:pPr>
    <w:rPr>
      <w:b/>
      <w:bCs/>
      <w:szCs w:val="24"/>
      <w:lang w:eastAsia="da-DK"/>
    </w:rPr>
  </w:style>
  <w:style w:type="character" w:customStyle="1" w:styleId="italic">
    <w:name w:val="italic"/>
    <w:basedOn w:val="Standardskrifttypeiafsnit"/>
    <w:rsid w:val="00E41563"/>
    <w:rPr>
      <w:i/>
      <w:iCs/>
    </w:rPr>
  </w:style>
  <w:style w:type="paragraph" w:customStyle="1" w:styleId="signatory">
    <w:name w:val="signatory"/>
    <w:basedOn w:val="Normal"/>
    <w:rsid w:val="00E41563"/>
    <w:pPr>
      <w:spacing w:before="60" w:after="60" w:line="240" w:lineRule="auto"/>
      <w:jc w:val="center"/>
    </w:pPr>
    <w:rPr>
      <w:szCs w:val="24"/>
      <w:lang w:eastAsia="da-DK"/>
    </w:rPr>
  </w:style>
  <w:style w:type="paragraph" w:customStyle="1" w:styleId="note">
    <w:name w:val="note"/>
    <w:basedOn w:val="Normal"/>
    <w:rsid w:val="00E41563"/>
    <w:pPr>
      <w:spacing w:before="60" w:after="60" w:line="240" w:lineRule="auto"/>
      <w:jc w:val="both"/>
    </w:pPr>
    <w:rPr>
      <w:sz w:val="19"/>
      <w:szCs w:val="19"/>
      <w:lang w:eastAsia="da-DK"/>
    </w:rPr>
  </w:style>
  <w:style w:type="paragraph" w:customStyle="1" w:styleId="ti-tbl">
    <w:name w:val="ti-tbl"/>
    <w:basedOn w:val="Normal"/>
    <w:rsid w:val="00E41563"/>
    <w:pPr>
      <w:spacing w:before="120" w:after="120" w:line="240" w:lineRule="auto"/>
      <w:jc w:val="center"/>
    </w:pPr>
    <w:rPr>
      <w:szCs w:val="24"/>
      <w:lang w:eastAsia="da-DK"/>
    </w:rPr>
  </w:style>
  <w:style w:type="paragraph" w:customStyle="1" w:styleId="tbl-hdr">
    <w:name w:val="tbl-hdr"/>
    <w:basedOn w:val="Normal"/>
    <w:rsid w:val="00E41563"/>
    <w:pPr>
      <w:spacing w:before="60" w:after="60" w:line="240" w:lineRule="auto"/>
      <w:ind w:right="195"/>
      <w:jc w:val="center"/>
    </w:pPr>
    <w:rPr>
      <w:b/>
      <w:bCs/>
      <w:sz w:val="22"/>
      <w:szCs w:val="22"/>
      <w:lang w:eastAsia="da-DK"/>
    </w:rPr>
  </w:style>
  <w:style w:type="paragraph" w:customStyle="1" w:styleId="tbl-txt">
    <w:name w:val="tbl-txt"/>
    <w:basedOn w:val="Normal"/>
    <w:rsid w:val="00E41563"/>
    <w:pPr>
      <w:spacing w:before="60" w:after="60" w:line="240" w:lineRule="auto"/>
    </w:pPr>
    <w:rPr>
      <w:sz w:val="22"/>
      <w:szCs w:val="22"/>
      <w:lang w:eastAsia="da-DK"/>
    </w:rPr>
  </w:style>
  <w:style w:type="paragraph" w:customStyle="1" w:styleId="tbl-num">
    <w:name w:val="tbl-num"/>
    <w:basedOn w:val="Normal"/>
    <w:rsid w:val="00E41563"/>
    <w:pPr>
      <w:spacing w:before="60" w:after="60" w:line="240" w:lineRule="auto"/>
      <w:ind w:right="195"/>
      <w:jc w:val="right"/>
    </w:pPr>
    <w:rPr>
      <w:sz w:val="22"/>
      <w:szCs w:val="22"/>
      <w:lang w:eastAsia="da-DK"/>
    </w:rPr>
  </w:style>
  <w:style w:type="paragraph" w:customStyle="1" w:styleId="ti-grseq-1">
    <w:name w:val="ti-grseq-1"/>
    <w:basedOn w:val="Normal"/>
    <w:rsid w:val="00E41563"/>
    <w:pPr>
      <w:spacing w:before="240" w:after="120" w:line="240" w:lineRule="auto"/>
      <w:jc w:val="both"/>
    </w:pPr>
    <w:rPr>
      <w:b/>
      <w:bCs/>
      <w:szCs w:val="24"/>
      <w:lang w:eastAsia="da-DK"/>
    </w:rPr>
  </w:style>
  <w:style w:type="paragraph" w:customStyle="1" w:styleId="liste1">
    <w:name w:val="liste1"/>
    <w:basedOn w:val="Normal"/>
    <w:rsid w:val="0071024D"/>
    <w:pPr>
      <w:spacing w:line="240" w:lineRule="auto"/>
      <w:ind w:left="280"/>
    </w:pPr>
    <w:rPr>
      <w:rFonts w:ascii="Tahoma" w:hAnsi="Tahoma" w:cs="Tahoma"/>
      <w:color w:val="000000"/>
      <w:szCs w:val="24"/>
      <w:lang w:eastAsia="da-DK"/>
    </w:rPr>
  </w:style>
  <w:style w:type="character" w:customStyle="1" w:styleId="liste1nr1">
    <w:name w:val="liste1nr1"/>
    <w:basedOn w:val="Standardskrifttypeiafsnit"/>
    <w:rsid w:val="0071024D"/>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71024D"/>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71024D"/>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71024D"/>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71024D"/>
    <w:rPr>
      <w:rFonts w:ascii="Tahoma" w:hAnsi="Tahoma" w:cs="Tahoma" w:hint="default"/>
      <w:i/>
      <w:iCs/>
      <w:color w:val="000000"/>
      <w:sz w:val="24"/>
      <w:szCs w:val="24"/>
      <w:shd w:val="clear" w:color="auto" w:fill="auto"/>
    </w:rPr>
  </w:style>
  <w:style w:type="character" w:customStyle="1" w:styleId="paragrafnr6">
    <w:name w:val="paragrafnr6"/>
    <w:basedOn w:val="Standardskrifttypeiafsnit"/>
    <w:rsid w:val="0071024D"/>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71024D"/>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71024D"/>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71024D"/>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71024D"/>
    <w:rPr>
      <w:rFonts w:ascii="Tahoma" w:hAnsi="Tahoma" w:cs="Tahoma" w:hint="default"/>
      <w:b/>
      <w:bCs/>
      <w:color w:val="000000"/>
      <w:sz w:val="24"/>
      <w:szCs w:val="24"/>
      <w:shd w:val="clear" w:color="auto" w:fill="auto"/>
    </w:rPr>
  </w:style>
  <w:style w:type="paragraph" w:styleId="Sidehoved">
    <w:name w:val="header"/>
    <w:basedOn w:val="Normal"/>
    <w:link w:val="SidehovedTegn"/>
    <w:uiPriority w:val="99"/>
    <w:rsid w:val="00064A0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64A00"/>
    <w:rPr>
      <w:sz w:val="24"/>
      <w:lang w:eastAsia="en-US"/>
    </w:rPr>
  </w:style>
  <w:style w:type="character" w:customStyle="1" w:styleId="SidefodTegn">
    <w:name w:val="Sidefod Tegn"/>
    <w:basedOn w:val="Standardskrifttypeiafsnit"/>
    <w:link w:val="Sidefod"/>
    <w:uiPriority w:val="99"/>
    <w:rsid w:val="00064A0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33">
      <w:bodyDiv w:val="1"/>
      <w:marLeft w:val="0"/>
      <w:marRight w:val="0"/>
      <w:marTop w:val="0"/>
      <w:marBottom w:val="0"/>
      <w:divBdr>
        <w:top w:val="none" w:sz="0" w:space="0" w:color="auto"/>
        <w:left w:val="none" w:sz="0" w:space="0" w:color="auto"/>
        <w:bottom w:val="none" w:sz="0" w:space="0" w:color="auto"/>
        <w:right w:val="none" w:sz="0" w:space="0" w:color="auto"/>
      </w:divBdr>
      <w:divsChild>
        <w:div w:id="2028561238">
          <w:marLeft w:val="0"/>
          <w:marRight w:val="0"/>
          <w:marTop w:val="0"/>
          <w:marBottom w:val="300"/>
          <w:divBdr>
            <w:top w:val="none" w:sz="0" w:space="0" w:color="auto"/>
            <w:left w:val="none" w:sz="0" w:space="0" w:color="auto"/>
            <w:bottom w:val="none" w:sz="0" w:space="0" w:color="auto"/>
            <w:right w:val="none" w:sz="0" w:space="0" w:color="auto"/>
          </w:divBdr>
          <w:divsChild>
            <w:div w:id="735126947">
              <w:marLeft w:val="0"/>
              <w:marRight w:val="0"/>
              <w:marTop w:val="0"/>
              <w:marBottom w:val="0"/>
              <w:divBdr>
                <w:top w:val="none" w:sz="0" w:space="0" w:color="auto"/>
                <w:left w:val="single" w:sz="6" w:space="1" w:color="FFFFFF"/>
                <w:bottom w:val="none" w:sz="0" w:space="0" w:color="auto"/>
                <w:right w:val="single" w:sz="6" w:space="1" w:color="FFFFFF"/>
              </w:divBdr>
              <w:divsChild>
                <w:div w:id="595599400">
                  <w:marLeft w:val="0"/>
                  <w:marRight w:val="0"/>
                  <w:marTop w:val="0"/>
                  <w:marBottom w:val="0"/>
                  <w:divBdr>
                    <w:top w:val="none" w:sz="0" w:space="0" w:color="auto"/>
                    <w:left w:val="none" w:sz="0" w:space="0" w:color="auto"/>
                    <w:bottom w:val="none" w:sz="0" w:space="0" w:color="auto"/>
                    <w:right w:val="none" w:sz="0" w:space="0" w:color="auto"/>
                  </w:divBdr>
                  <w:divsChild>
                    <w:div w:id="928777013">
                      <w:marLeft w:val="0"/>
                      <w:marRight w:val="0"/>
                      <w:marTop w:val="0"/>
                      <w:marBottom w:val="0"/>
                      <w:divBdr>
                        <w:top w:val="none" w:sz="0" w:space="0" w:color="auto"/>
                        <w:left w:val="none" w:sz="0" w:space="0" w:color="auto"/>
                        <w:bottom w:val="none" w:sz="0" w:space="0" w:color="auto"/>
                        <w:right w:val="none" w:sz="0" w:space="0" w:color="auto"/>
                      </w:divBdr>
                      <w:divsChild>
                        <w:div w:id="1888104136">
                          <w:marLeft w:val="0"/>
                          <w:marRight w:val="0"/>
                          <w:marTop w:val="0"/>
                          <w:marBottom w:val="0"/>
                          <w:divBdr>
                            <w:top w:val="none" w:sz="0" w:space="0" w:color="auto"/>
                            <w:left w:val="none" w:sz="0" w:space="0" w:color="auto"/>
                            <w:bottom w:val="none" w:sz="0" w:space="0" w:color="auto"/>
                            <w:right w:val="none" w:sz="0" w:space="0" w:color="auto"/>
                          </w:divBdr>
                          <w:divsChild>
                            <w:div w:id="65733742">
                              <w:marLeft w:val="0"/>
                              <w:marRight w:val="0"/>
                              <w:marTop w:val="0"/>
                              <w:marBottom w:val="0"/>
                              <w:divBdr>
                                <w:top w:val="none" w:sz="0" w:space="0" w:color="auto"/>
                                <w:left w:val="none" w:sz="0" w:space="0" w:color="auto"/>
                                <w:bottom w:val="none" w:sz="0" w:space="0" w:color="auto"/>
                                <w:right w:val="none" w:sz="0" w:space="0" w:color="auto"/>
                              </w:divBdr>
                              <w:divsChild>
                                <w:div w:id="112677600">
                                  <w:marLeft w:val="0"/>
                                  <w:marRight w:val="0"/>
                                  <w:marTop w:val="0"/>
                                  <w:marBottom w:val="0"/>
                                  <w:divBdr>
                                    <w:top w:val="none" w:sz="0" w:space="0" w:color="auto"/>
                                    <w:left w:val="none" w:sz="0" w:space="0" w:color="auto"/>
                                    <w:bottom w:val="none" w:sz="0" w:space="0" w:color="auto"/>
                                    <w:right w:val="none" w:sz="0" w:space="0" w:color="auto"/>
                                  </w:divBdr>
                                  <w:divsChild>
                                    <w:div w:id="1054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06981">
      <w:bodyDiv w:val="1"/>
      <w:marLeft w:val="390"/>
      <w:marRight w:val="390"/>
      <w:marTop w:val="0"/>
      <w:marBottom w:val="0"/>
      <w:divBdr>
        <w:top w:val="none" w:sz="0" w:space="0" w:color="auto"/>
        <w:left w:val="none" w:sz="0" w:space="0" w:color="auto"/>
        <w:bottom w:val="none" w:sz="0" w:space="0" w:color="auto"/>
        <w:right w:val="none" w:sz="0" w:space="0" w:color="auto"/>
      </w:divBdr>
      <w:divsChild>
        <w:div w:id="634717446">
          <w:marLeft w:val="810"/>
          <w:marRight w:val="810"/>
          <w:marTop w:val="360"/>
          <w:marBottom w:val="0"/>
          <w:divBdr>
            <w:top w:val="none" w:sz="0" w:space="0" w:color="auto"/>
            <w:left w:val="none" w:sz="0" w:space="0" w:color="auto"/>
            <w:bottom w:val="none" w:sz="0" w:space="0" w:color="auto"/>
            <w:right w:val="none" w:sz="0" w:space="0" w:color="auto"/>
          </w:divBdr>
          <w:divsChild>
            <w:div w:id="1863980635">
              <w:marLeft w:val="4005"/>
              <w:marRight w:val="810"/>
              <w:marTop w:val="0"/>
              <w:marBottom w:val="0"/>
              <w:divBdr>
                <w:top w:val="none" w:sz="0" w:space="0" w:color="auto"/>
                <w:left w:val="none" w:sz="0" w:space="0" w:color="auto"/>
                <w:bottom w:val="none" w:sz="0" w:space="0" w:color="auto"/>
                <w:right w:val="none" w:sz="0" w:space="0" w:color="auto"/>
              </w:divBdr>
            </w:div>
          </w:divsChild>
        </w:div>
        <w:div w:id="1286617738">
          <w:marLeft w:val="0"/>
          <w:marRight w:val="0"/>
          <w:marTop w:val="0"/>
          <w:marBottom w:val="0"/>
          <w:divBdr>
            <w:top w:val="none" w:sz="0" w:space="0" w:color="auto"/>
            <w:left w:val="none" w:sz="0" w:space="0" w:color="auto"/>
            <w:bottom w:val="none" w:sz="0" w:space="0" w:color="auto"/>
            <w:right w:val="none" w:sz="0" w:space="0" w:color="auto"/>
          </w:divBdr>
        </w:div>
        <w:div w:id="1609120139">
          <w:marLeft w:val="0"/>
          <w:marRight w:val="0"/>
          <w:marTop w:val="0"/>
          <w:marBottom w:val="0"/>
          <w:divBdr>
            <w:top w:val="none" w:sz="0" w:space="0" w:color="auto"/>
            <w:left w:val="none" w:sz="0" w:space="0" w:color="auto"/>
            <w:bottom w:val="none" w:sz="0" w:space="0" w:color="auto"/>
            <w:right w:val="none" w:sz="0" w:space="0" w:color="auto"/>
          </w:divBdr>
        </w:div>
      </w:divsChild>
    </w:div>
    <w:div w:id="843938468">
      <w:bodyDiv w:val="1"/>
      <w:marLeft w:val="0"/>
      <w:marRight w:val="0"/>
      <w:marTop w:val="0"/>
      <w:marBottom w:val="0"/>
      <w:divBdr>
        <w:top w:val="none" w:sz="0" w:space="0" w:color="auto"/>
        <w:left w:val="none" w:sz="0" w:space="0" w:color="auto"/>
        <w:bottom w:val="none" w:sz="0" w:space="0" w:color="auto"/>
        <w:right w:val="none" w:sz="0" w:space="0" w:color="auto"/>
      </w:divBdr>
    </w:div>
    <w:div w:id="1045374904">
      <w:bodyDiv w:val="1"/>
      <w:marLeft w:val="390"/>
      <w:marRight w:val="390"/>
      <w:marTop w:val="390"/>
      <w:marBottom w:val="0"/>
      <w:divBdr>
        <w:top w:val="none" w:sz="0" w:space="0" w:color="auto"/>
        <w:left w:val="none" w:sz="0" w:space="0" w:color="auto"/>
        <w:bottom w:val="none" w:sz="0" w:space="0" w:color="auto"/>
        <w:right w:val="none" w:sz="0" w:space="0" w:color="auto"/>
      </w:divBdr>
      <w:divsChild>
        <w:div w:id="66416152">
          <w:marLeft w:val="240"/>
          <w:marRight w:val="0"/>
          <w:marTop w:val="0"/>
          <w:marBottom w:val="0"/>
          <w:divBdr>
            <w:top w:val="none" w:sz="0" w:space="0" w:color="auto"/>
            <w:left w:val="none" w:sz="0" w:space="0" w:color="auto"/>
            <w:bottom w:val="none" w:sz="0" w:space="0" w:color="auto"/>
            <w:right w:val="none" w:sz="0" w:space="0" w:color="auto"/>
          </w:divBdr>
        </w:div>
        <w:div w:id="837699017">
          <w:marLeft w:val="240"/>
          <w:marRight w:val="0"/>
          <w:marTop w:val="0"/>
          <w:marBottom w:val="0"/>
          <w:divBdr>
            <w:top w:val="none" w:sz="0" w:space="0" w:color="auto"/>
            <w:left w:val="none" w:sz="0" w:space="0" w:color="auto"/>
            <w:bottom w:val="none" w:sz="0" w:space="0" w:color="auto"/>
            <w:right w:val="none" w:sz="0" w:space="0" w:color="auto"/>
          </w:divBdr>
        </w:div>
        <w:div w:id="1550343379">
          <w:marLeft w:val="240"/>
          <w:marRight w:val="0"/>
          <w:marTop w:val="0"/>
          <w:marBottom w:val="0"/>
          <w:divBdr>
            <w:top w:val="none" w:sz="0" w:space="0" w:color="auto"/>
            <w:left w:val="none" w:sz="0" w:space="0" w:color="auto"/>
            <w:bottom w:val="none" w:sz="0" w:space="0" w:color="auto"/>
            <w:right w:val="none" w:sz="0" w:space="0" w:color="auto"/>
          </w:divBdr>
        </w:div>
      </w:divsChild>
    </w:div>
    <w:div w:id="1378235905">
      <w:bodyDiv w:val="1"/>
      <w:marLeft w:val="0"/>
      <w:marRight w:val="0"/>
      <w:marTop w:val="0"/>
      <w:marBottom w:val="0"/>
      <w:divBdr>
        <w:top w:val="none" w:sz="0" w:space="0" w:color="auto"/>
        <w:left w:val="none" w:sz="0" w:space="0" w:color="auto"/>
        <w:bottom w:val="none" w:sz="0" w:space="0" w:color="auto"/>
        <w:right w:val="none" w:sz="0" w:space="0" w:color="auto"/>
      </w:divBdr>
    </w:div>
    <w:div w:id="2119762074">
      <w:bodyDiv w:val="1"/>
      <w:marLeft w:val="0"/>
      <w:marRight w:val="0"/>
      <w:marTop w:val="0"/>
      <w:marBottom w:val="0"/>
      <w:divBdr>
        <w:top w:val="none" w:sz="0" w:space="0" w:color="auto"/>
        <w:left w:val="none" w:sz="0" w:space="0" w:color="auto"/>
        <w:bottom w:val="none" w:sz="0" w:space="0" w:color="auto"/>
        <w:right w:val="none" w:sz="0" w:space="0" w:color="auto"/>
      </w:divBdr>
      <w:divsChild>
        <w:div w:id="1240017723">
          <w:marLeft w:val="0"/>
          <w:marRight w:val="0"/>
          <w:marTop w:val="0"/>
          <w:marBottom w:val="300"/>
          <w:divBdr>
            <w:top w:val="none" w:sz="0" w:space="0" w:color="auto"/>
            <w:left w:val="none" w:sz="0" w:space="0" w:color="auto"/>
            <w:bottom w:val="none" w:sz="0" w:space="0" w:color="auto"/>
            <w:right w:val="none" w:sz="0" w:space="0" w:color="auto"/>
          </w:divBdr>
          <w:divsChild>
            <w:div w:id="28145851">
              <w:marLeft w:val="0"/>
              <w:marRight w:val="0"/>
              <w:marTop w:val="0"/>
              <w:marBottom w:val="0"/>
              <w:divBdr>
                <w:top w:val="none" w:sz="0" w:space="0" w:color="auto"/>
                <w:left w:val="single" w:sz="6" w:space="1" w:color="FFFFFF"/>
                <w:bottom w:val="none" w:sz="0" w:space="0" w:color="auto"/>
                <w:right w:val="single" w:sz="6" w:space="1" w:color="FFFFFF"/>
              </w:divBdr>
              <w:divsChild>
                <w:div w:id="1507406081">
                  <w:marLeft w:val="0"/>
                  <w:marRight w:val="0"/>
                  <w:marTop w:val="0"/>
                  <w:marBottom w:val="0"/>
                  <w:divBdr>
                    <w:top w:val="none" w:sz="0" w:space="0" w:color="auto"/>
                    <w:left w:val="none" w:sz="0" w:space="0" w:color="auto"/>
                    <w:bottom w:val="none" w:sz="0" w:space="0" w:color="auto"/>
                    <w:right w:val="none" w:sz="0" w:space="0" w:color="auto"/>
                  </w:divBdr>
                  <w:divsChild>
                    <w:div w:id="2053266237">
                      <w:marLeft w:val="0"/>
                      <w:marRight w:val="0"/>
                      <w:marTop w:val="0"/>
                      <w:marBottom w:val="0"/>
                      <w:divBdr>
                        <w:top w:val="none" w:sz="0" w:space="0" w:color="auto"/>
                        <w:left w:val="none" w:sz="0" w:space="0" w:color="auto"/>
                        <w:bottom w:val="none" w:sz="0" w:space="0" w:color="auto"/>
                        <w:right w:val="none" w:sz="0" w:space="0" w:color="auto"/>
                      </w:divBdr>
                      <w:divsChild>
                        <w:div w:id="641151910">
                          <w:marLeft w:val="0"/>
                          <w:marRight w:val="0"/>
                          <w:marTop w:val="0"/>
                          <w:marBottom w:val="0"/>
                          <w:divBdr>
                            <w:top w:val="none" w:sz="0" w:space="0" w:color="auto"/>
                            <w:left w:val="none" w:sz="0" w:space="0" w:color="auto"/>
                            <w:bottom w:val="none" w:sz="0" w:space="0" w:color="auto"/>
                            <w:right w:val="none" w:sz="0" w:space="0" w:color="auto"/>
                          </w:divBdr>
                          <w:divsChild>
                            <w:div w:id="2113628825">
                              <w:marLeft w:val="0"/>
                              <w:marRight w:val="0"/>
                              <w:marTop w:val="0"/>
                              <w:marBottom w:val="0"/>
                              <w:divBdr>
                                <w:top w:val="none" w:sz="0" w:space="0" w:color="auto"/>
                                <w:left w:val="none" w:sz="0" w:space="0" w:color="auto"/>
                                <w:bottom w:val="none" w:sz="0" w:space="0" w:color="auto"/>
                                <w:right w:val="none" w:sz="0" w:space="0" w:color="auto"/>
                              </w:divBdr>
                              <w:divsChild>
                                <w:div w:id="1586955871">
                                  <w:marLeft w:val="0"/>
                                  <w:marRight w:val="0"/>
                                  <w:marTop w:val="0"/>
                                  <w:marBottom w:val="0"/>
                                  <w:divBdr>
                                    <w:top w:val="none" w:sz="0" w:space="0" w:color="auto"/>
                                    <w:left w:val="none" w:sz="0" w:space="0" w:color="auto"/>
                                    <w:bottom w:val="none" w:sz="0" w:space="0" w:color="auto"/>
                                    <w:right w:val="none" w:sz="0" w:space="0" w:color="auto"/>
                                  </w:divBdr>
                                  <w:divsChild>
                                    <w:div w:id="9660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DA/TXT/HTML/?uri=CELEX:32009D0109&amp;from=EN" TargetMode="External"/><Relationship Id="rId18" Type="http://schemas.openxmlformats.org/officeDocument/2006/relationships/hyperlink" Target="http://eur-lex.europa.eu/legal-content/DA/TXT/HTML/?uri=CELEX:32009D0109&amp;from=EN" TargetMode="External"/><Relationship Id="rId26" Type="http://schemas.openxmlformats.org/officeDocument/2006/relationships/hyperlink" Target="http://eur-lex.europa.eu/legal-content/DA/TXT/HTML/?uri=CELEX:32009D0109&amp;from=EN" TargetMode="External"/><Relationship Id="rId39" Type="http://schemas.openxmlformats.org/officeDocument/2006/relationships/hyperlink" Target="http://eur-lex.europa.eu/legal-content/DA/TXT/HTML/?uri=CELEX:32009D0109&amp;from=EN" TargetMode="External"/><Relationship Id="rId21" Type="http://schemas.openxmlformats.org/officeDocument/2006/relationships/hyperlink" Target="http://eur-lex.europa.eu/legal-content/DA/TXT/HTML/?uri=CELEX:32009D0109&amp;from=EN" TargetMode="External"/><Relationship Id="rId34" Type="http://schemas.openxmlformats.org/officeDocument/2006/relationships/hyperlink" Target="http://eur-lex.europa.eu/legal-content/DA/TXT/HTML/?uri=CELEX:32009D0109&amp;from=EN" TargetMode="External"/><Relationship Id="rId42" Type="http://schemas.openxmlformats.org/officeDocument/2006/relationships/hyperlink" Target="http://eur-lex.europa.eu/legal-content/DA/TXT/HTML/?uri=CELEX:32009D0109&amp;from=EN" TargetMode="External"/><Relationship Id="rId47" Type="http://schemas.openxmlformats.org/officeDocument/2006/relationships/hyperlink" Target="http://eur-lex.europa.eu/legal-content/DA/TXT/HTML/?uri=CELEX:32009D0109&amp;from=EN" TargetMode="External"/><Relationship Id="rId50" Type="http://schemas.openxmlformats.org/officeDocument/2006/relationships/hyperlink" Target="http://eur-lex.europa.eu/legal-content/DA/TXT/HTML/?uri=CELEX:32009D0109&amp;from=EN" TargetMode="External"/><Relationship Id="rId55" Type="http://schemas.openxmlformats.org/officeDocument/2006/relationships/hyperlink" Target="http://eur-lex.europa.eu/legal-content/DA/TXT/HTML/?uri=CELEX:32009D0109&amp;from=EN" TargetMode="External"/><Relationship Id="rId63" Type="http://schemas.openxmlformats.org/officeDocument/2006/relationships/hyperlink" Target="http://eur-lex.europa.eu/legal-content/DA/TXT/HTML/?uri=CELEX:32009D0109&amp;from=EN" TargetMode="External"/><Relationship Id="rId68" Type="http://schemas.openxmlformats.org/officeDocument/2006/relationships/hyperlink" Target="http://eur-lex.europa.eu/legal-content/DA/TXT/HTML/?uri=CELEX:32009D0109&amp;from=EN" TargetMode="External"/><Relationship Id="rId76" Type="http://schemas.openxmlformats.org/officeDocument/2006/relationships/hyperlink" Target="http://eur-lex.europa.eu/legal-content/DA/TXT/HTML/?uri=CELEX:32009D0109&amp;from=EN"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ur-lex.europa.eu/legal-content/DA/TXT/HTML/?uri=CELEX:32009D0109&amp;from=EN" TargetMode="External"/><Relationship Id="rId2" Type="http://schemas.openxmlformats.org/officeDocument/2006/relationships/numbering" Target="numbering.xml"/><Relationship Id="rId16" Type="http://schemas.openxmlformats.org/officeDocument/2006/relationships/hyperlink" Target="http://eur-lex.europa.eu/legal-content/DA/TXT/HTML/?uri=CELEX:32009D0109&amp;from=EN" TargetMode="External"/><Relationship Id="rId29" Type="http://schemas.openxmlformats.org/officeDocument/2006/relationships/hyperlink" Target="http://eur-lex.europa.eu/legal-content/DA/TXT/HTML/?uri=CELEX:32009D0109&amp;from=EN" TargetMode="External"/><Relationship Id="rId11" Type="http://schemas.openxmlformats.org/officeDocument/2006/relationships/hyperlink" Target="http://eur-lex.europa.eu/legal-content/DA/TXT/HTML/?uri=CELEX:32009D0109&amp;from=EN" TargetMode="External"/><Relationship Id="rId24" Type="http://schemas.openxmlformats.org/officeDocument/2006/relationships/hyperlink" Target="http://eur-lex.europa.eu/legal-content/DA/TXT/HTML/?uri=CELEX:32009D0109&amp;from=EN" TargetMode="External"/><Relationship Id="rId32" Type="http://schemas.openxmlformats.org/officeDocument/2006/relationships/hyperlink" Target="http://eur-lex.europa.eu/legal-content/DA/TXT/HTML/?uri=CELEX:32009D0109&amp;from=EN" TargetMode="External"/><Relationship Id="rId37" Type="http://schemas.openxmlformats.org/officeDocument/2006/relationships/hyperlink" Target="http://eur-lex.europa.eu/legal-content/DA/TXT/HTML/?uri=CELEX:32009D0109&amp;from=EN" TargetMode="External"/><Relationship Id="rId40" Type="http://schemas.openxmlformats.org/officeDocument/2006/relationships/hyperlink" Target="http://eur-lex.europa.eu/legal-content/DA/TXT/HTML/?uri=CELEX:32009D0109&amp;from=EN" TargetMode="External"/><Relationship Id="rId45" Type="http://schemas.openxmlformats.org/officeDocument/2006/relationships/hyperlink" Target="http://eur-lex.europa.eu/legal-content/DA/TXT/HTML/?uri=CELEX:32009D0109&amp;from=EN" TargetMode="External"/><Relationship Id="rId53" Type="http://schemas.openxmlformats.org/officeDocument/2006/relationships/hyperlink" Target="http://eur-lex.europa.eu/legal-content/DA/TXT/HTML/?uri=CELEX:32009D0109&amp;from=EN" TargetMode="External"/><Relationship Id="rId58" Type="http://schemas.openxmlformats.org/officeDocument/2006/relationships/hyperlink" Target="http://eur-lex.europa.eu/legal-content/DA/TXT/HTML/?uri=CELEX:32009D0109&amp;from=EN" TargetMode="External"/><Relationship Id="rId66" Type="http://schemas.openxmlformats.org/officeDocument/2006/relationships/hyperlink" Target="http://eur-lex.europa.eu/legal-content/DA/TXT/HTML/?uri=CELEX:32009D0109&amp;from=EN" TargetMode="External"/><Relationship Id="rId74" Type="http://schemas.openxmlformats.org/officeDocument/2006/relationships/hyperlink" Target="http://eur-lex.europa.eu/legal-content/DA/TXT/HTML/?uri=CELEX:32009D0109&amp;from=EN"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eur-lex.europa.eu/legal-content/DA/TXT/HTML/?uri=CELEX:32009D0109&amp;from=EN" TargetMode="External"/><Relationship Id="rId82" Type="http://schemas.openxmlformats.org/officeDocument/2006/relationships/header" Target="header3.xml"/><Relationship Id="rId19" Type="http://schemas.openxmlformats.org/officeDocument/2006/relationships/hyperlink" Target="http://eur-lex.europa.eu/legal-content/DA/TXT/HTML/?uri=CELEX:32009D0109&amp;from=EN" TargetMode="External"/><Relationship Id="rId4" Type="http://schemas.openxmlformats.org/officeDocument/2006/relationships/settings" Target="settings.xml"/><Relationship Id="rId9" Type="http://schemas.openxmlformats.org/officeDocument/2006/relationships/hyperlink" Target="http://eur-lex.europa.eu/legal-content/DA/TXT/HTML/?uri=CELEX:32009D0109&amp;from=EN" TargetMode="External"/><Relationship Id="rId14" Type="http://schemas.openxmlformats.org/officeDocument/2006/relationships/hyperlink" Target="http://eur-lex.europa.eu/legal-content/DA/TXT/HTML/?uri=CELEX:32009D0109&amp;from=EN" TargetMode="External"/><Relationship Id="rId22" Type="http://schemas.openxmlformats.org/officeDocument/2006/relationships/hyperlink" Target="http://eur-lex.europa.eu/legal-content/DA/TXT/HTML/?uri=CELEX:32009D0109&amp;from=EN" TargetMode="External"/><Relationship Id="rId27" Type="http://schemas.openxmlformats.org/officeDocument/2006/relationships/hyperlink" Target="http://eur-lex.europa.eu/legal-content/DA/TXT/HTML/?uri=CELEX:32009D0109&amp;from=EN" TargetMode="External"/><Relationship Id="rId30" Type="http://schemas.openxmlformats.org/officeDocument/2006/relationships/hyperlink" Target="http://eur-lex.europa.eu/legal-content/DA/TXT/HTML/?uri=CELEX:32009D0109&amp;from=EN" TargetMode="External"/><Relationship Id="rId35" Type="http://schemas.openxmlformats.org/officeDocument/2006/relationships/hyperlink" Target="http://eur-lex.europa.eu/legal-content/DA/TXT/HTML/?uri=CELEX:32009D0109&amp;from=EN" TargetMode="External"/><Relationship Id="rId43" Type="http://schemas.openxmlformats.org/officeDocument/2006/relationships/hyperlink" Target="http://eur-lex.europa.eu/legal-content/DA/TXT/HTML/?uri=CELEX:32009D0109&amp;from=EN" TargetMode="External"/><Relationship Id="rId48" Type="http://schemas.openxmlformats.org/officeDocument/2006/relationships/hyperlink" Target="http://eur-lex.europa.eu/legal-content/DA/TXT/HTML/?uri=CELEX:32009D0109&amp;from=EN" TargetMode="External"/><Relationship Id="rId56" Type="http://schemas.openxmlformats.org/officeDocument/2006/relationships/hyperlink" Target="http://eur-lex.europa.eu/legal-content/DA/TXT/HTML/?uri=CELEX:32009D0109&amp;from=EN" TargetMode="External"/><Relationship Id="rId64" Type="http://schemas.openxmlformats.org/officeDocument/2006/relationships/hyperlink" Target="http://eur-lex.europa.eu/legal-content/DA/TXT/HTML/?uri=CELEX:32009D0109&amp;from=EN" TargetMode="External"/><Relationship Id="rId69" Type="http://schemas.openxmlformats.org/officeDocument/2006/relationships/hyperlink" Target="http://eur-lex.europa.eu/legal-content/DA/TXT/HTML/?uri=CELEX:32009D0109&amp;from=EN" TargetMode="External"/><Relationship Id="rId77" Type="http://schemas.openxmlformats.org/officeDocument/2006/relationships/hyperlink" Target="http://eur-lex.europa.eu/legal-content/DA/TXT/HTML/?uri=CELEX:32009D0109&amp;from=EN" TargetMode="External"/><Relationship Id="rId8" Type="http://schemas.openxmlformats.org/officeDocument/2006/relationships/hyperlink" Target="http://eur-lex.europa.eu/legal-content/DA/TXT/HTML/?uri=CELEX:32009D0109&amp;from=EN" TargetMode="External"/><Relationship Id="rId51" Type="http://schemas.openxmlformats.org/officeDocument/2006/relationships/hyperlink" Target="http://eur-lex.europa.eu/legal-content/DA/TXT/HTML/?uri=CELEX:32009D0109&amp;from=EN" TargetMode="External"/><Relationship Id="rId72" Type="http://schemas.openxmlformats.org/officeDocument/2006/relationships/hyperlink" Target="http://eur-lex.europa.eu/legal-content/DA/TXT/HTML/?uri=CELEX:32009D0109&amp;from=EN" TargetMode="External"/><Relationship Id="rId80" Type="http://schemas.openxmlformats.org/officeDocument/2006/relationships/footer" Target="footer1.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eur-lex.europa.eu/legal-content/DA/TXT/HTML/?uri=CELEX:32009D0109&amp;from=EN" TargetMode="External"/><Relationship Id="rId17" Type="http://schemas.openxmlformats.org/officeDocument/2006/relationships/hyperlink" Target="http://eur-lex.europa.eu/legal-content/DA/TXT/HTML/?uri=CELEX:32009D0109&amp;from=EN" TargetMode="External"/><Relationship Id="rId25" Type="http://schemas.openxmlformats.org/officeDocument/2006/relationships/hyperlink" Target="http://eur-lex.europa.eu/legal-content/DA/TXT/HTML/?uri=CELEX:32009D0109&amp;from=EN" TargetMode="External"/><Relationship Id="rId33" Type="http://schemas.openxmlformats.org/officeDocument/2006/relationships/hyperlink" Target="http://eur-lex.europa.eu/legal-content/DA/TXT/HTML/?uri=CELEX:32009D0109&amp;from=EN" TargetMode="External"/><Relationship Id="rId38" Type="http://schemas.openxmlformats.org/officeDocument/2006/relationships/hyperlink" Target="http://eur-lex.europa.eu/legal-content/DA/TXT/HTML/?uri=CELEX:32009D0109&amp;from=EN" TargetMode="External"/><Relationship Id="rId46" Type="http://schemas.openxmlformats.org/officeDocument/2006/relationships/hyperlink" Target="http://eur-lex.europa.eu/legal-content/DA/TXT/HTML/?uri=CELEX:32009D0109&amp;from=EN" TargetMode="External"/><Relationship Id="rId59" Type="http://schemas.openxmlformats.org/officeDocument/2006/relationships/hyperlink" Target="http://eur-lex.europa.eu/legal-content/DA/TXT/HTML/?uri=CELEX:32009D0109&amp;from=EN" TargetMode="External"/><Relationship Id="rId67" Type="http://schemas.openxmlformats.org/officeDocument/2006/relationships/hyperlink" Target="http://eur-lex.europa.eu/legal-content/DA/TXT/HTML/?uri=CELEX:32009D0109&amp;from=EN" TargetMode="External"/><Relationship Id="rId20" Type="http://schemas.openxmlformats.org/officeDocument/2006/relationships/hyperlink" Target="http://eur-lex.europa.eu/legal-content/DA/TXT/HTML/?uri=CELEX:32009D0109&amp;from=EN" TargetMode="External"/><Relationship Id="rId41" Type="http://schemas.openxmlformats.org/officeDocument/2006/relationships/hyperlink" Target="http://eur-lex.europa.eu/legal-content/DA/TXT/HTML/?uri=CELEX:32009D0109&amp;from=EN" TargetMode="External"/><Relationship Id="rId54" Type="http://schemas.openxmlformats.org/officeDocument/2006/relationships/hyperlink" Target="http://eur-lex.europa.eu/legal-content/DA/TXT/HTML/?uri=CELEX:32009D0109&amp;from=EN" TargetMode="External"/><Relationship Id="rId62" Type="http://schemas.openxmlformats.org/officeDocument/2006/relationships/hyperlink" Target="http://eur-lex.europa.eu/legal-content/DA/TXT/HTML/?uri=CELEX:32009D0109&amp;from=EN" TargetMode="External"/><Relationship Id="rId70" Type="http://schemas.openxmlformats.org/officeDocument/2006/relationships/hyperlink" Target="http://eur-lex.europa.eu/legal-content/DA/TXT/HTML/?uri=CELEX:32009D0109&amp;from=EN" TargetMode="External"/><Relationship Id="rId75" Type="http://schemas.openxmlformats.org/officeDocument/2006/relationships/hyperlink" Target="http://eur-lex.europa.eu/legal-content/DA/TXT/HTML/?uri=CELEX:32009D0109&amp;from=EN"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legal-content/DA/TXT/HTML/?uri=CELEX:32009D0109&amp;from=EN" TargetMode="External"/><Relationship Id="rId23" Type="http://schemas.openxmlformats.org/officeDocument/2006/relationships/hyperlink" Target="http://eur-lex.europa.eu/legal-content/DA/TXT/HTML/?uri=CELEX:32009D0109&amp;from=EN" TargetMode="External"/><Relationship Id="rId28" Type="http://schemas.openxmlformats.org/officeDocument/2006/relationships/hyperlink" Target="http://eur-lex.europa.eu/legal-content/DA/TXT/HTML/?uri=CELEX:32009D0109&amp;from=EN" TargetMode="External"/><Relationship Id="rId36" Type="http://schemas.openxmlformats.org/officeDocument/2006/relationships/hyperlink" Target="http://eur-lex.europa.eu/legal-content/DA/TXT/HTML/?uri=CELEX:32009D0109&amp;from=EN" TargetMode="External"/><Relationship Id="rId49" Type="http://schemas.openxmlformats.org/officeDocument/2006/relationships/hyperlink" Target="http://eur-lex.europa.eu/legal-content/DA/TXT/HTML/?uri=CELEX:32009D0109&amp;from=EN" TargetMode="External"/><Relationship Id="rId57" Type="http://schemas.openxmlformats.org/officeDocument/2006/relationships/hyperlink" Target="http://eur-lex.europa.eu/legal-content/DA/TXT/HTML/?uri=CELEX:32009D0109&amp;from=EN" TargetMode="External"/><Relationship Id="rId10" Type="http://schemas.openxmlformats.org/officeDocument/2006/relationships/hyperlink" Target="http://eur-lex.europa.eu/legal-content/DA/TXT/HTML/?uri=CELEX:32009D0109&amp;from=EN" TargetMode="External"/><Relationship Id="rId31" Type="http://schemas.openxmlformats.org/officeDocument/2006/relationships/hyperlink" Target="http://eur-lex.europa.eu/legal-content/DA/TXT/HTML/?uri=CELEX:32009D0109&amp;from=EN" TargetMode="External"/><Relationship Id="rId44" Type="http://schemas.openxmlformats.org/officeDocument/2006/relationships/hyperlink" Target="http://eur-lex.europa.eu/legal-content/DA/TXT/HTML/?uri=CELEX:32009D0109&amp;from=EN" TargetMode="External"/><Relationship Id="rId52" Type="http://schemas.openxmlformats.org/officeDocument/2006/relationships/hyperlink" Target="http://eur-lex.europa.eu/legal-content/DA/TXT/HTML/?uri=CELEX:32009D0109&amp;from=EN" TargetMode="External"/><Relationship Id="rId60" Type="http://schemas.openxmlformats.org/officeDocument/2006/relationships/hyperlink" Target="http://eur-lex.europa.eu/legal-content/DA/TXT/HTML/?uri=CELEX:32009D0109&amp;from=EN" TargetMode="External"/><Relationship Id="rId65" Type="http://schemas.openxmlformats.org/officeDocument/2006/relationships/hyperlink" Target="http://eur-lex.europa.eu/legal-content/DA/TXT/HTML/?uri=CELEX:32009D0109&amp;from=EN" TargetMode="External"/><Relationship Id="rId73" Type="http://schemas.openxmlformats.org/officeDocument/2006/relationships/hyperlink" Target="http://eur-lex.europa.eu/legal-content/DA/TXT/HTML/?uri=CELEX:32009D0109&amp;from=EN"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8FD1DAAB0D449A923F471DAC91F995"/>
        <w:category>
          <w:name w:val="Generelt"/>
          <w:gallery w:val="placeholder"/>
        </w:category>
        <w:types>
          <w:type w:val="bbPlcHdr"/>
        </w:types>
        <w:behaviors>
          <w:behavior w:val="content"/>
        </w:behaviors>
        <w:guid w:val="{2BFD22FB-E1A0-442C-9889-6FE2CA068500}"/>
      </w:docPartPr>
      <w:docPartBody>
        <w:p w:rsidR="002C6441" w:rsidRDefault="007D5948" w:rsidP="007D5948">
          <w:pPr>
            <w:pStyle w:val="2A8FD1DAAB0D449A923F471DAC91F995"/>
          </w:pPr>
          <w:r w:rsidRPr="00CC5177">
            <w:rPr>
              <w:rStyle w:val="Pladsholdertekst"/>
            </w:rPr>
            <w:t>(Sag) Ansv. enhed (tekst)</w:t>
          </w:r>
        </w:p>
      </w:docPartBody>
    </w:docPart>
    <w:docPart>
      <w:docPartPr>
        <w:name w:val="68692F113F2B4425B31FEEE2823B7F12"/>
        <w:category>
          <w:name w:val="Generelt"/>
          <w:gallery w:val="placeholder"/>
        </w:category>
        <w:types>
          <w:type w:val="bbPlcHdr"/>
        </w:types>
        <w:behaviors>
          <w:behavior w:val="content"/>
        </w:behaviors>
        <w:guid w:val="{71C3963D-1946-45B5-829B-DB29D9E97A44}"/>
      </w:docPartPr>
      <w:docPartBody>
        <w:p w:rsidR="002C6441" w:rsidRDefault="007D5948" w:rsidP="007D5948">
          <w:pPr>
            <w:pStyle w:val="68692F113F2B4425B31FEEE2823B7F12"/>
          </w:pPr>
          <w:r w:rsidRPr="00CC5177">
            <w:rPr>
              <w:rStyle w:val="Pladsholdertekst"/>
            </w:rPr>
            <w:t>(Sag, Sagsbehandler) Navn 1</w:t>
          </w:r>
        </w:p>
      </w:docPartBody>
    </w:docPart>
    <w:docPart>
      <w:docPartPr>
        <w:name w:val="2A3CF9A82E764E2CB423596D3C96EBB8"/>
        <w:category>
          <w:name w:val="Generelt"/>
          <w:gallery w:val="placeholder"/>
        </w:category>
        <w:types>
          <w:type w:val="bbPlcHdr"/>
        </w:types>
        <w:behaviors>
          <w:behavior w:val="content"/>
        </w:behaviors>
        <w:guid w:val="{5001C14D-B2C7-46AA-9760-51EC83970EC1}"/>
      </w:docPartPr>
      <w:docPartBody>
        <w:p w:rsidR="002C6441" w:rsidRDefault="007D5948" w:rsidP="007D5948">
          <w:pPr>
            <w:pStyle w:val="2A3CF9A82E764E2CB423596D3C96EBB8"/>
          </w:pPr>
          <w:r w:rsidRPr="00CC5177">
            <w:rPr>
              <w:rStyle w:val="Pladsholdertekst"/>
            </w:rPr>
            <w:t>(Sag) 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89"/>
    <w:rsid w:val="002C6441"/>
    <w:rsid w:val="004A0CD0"/>
    <w:rsid w:val="007D5948"/>
    <w:rsid w:val="00AD73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D5948"/>
    <w:rPr>
      <w:color w:val="808080"/>
    </w:rPr>
  </w:style>
  <w:style w:type="paragraph" w:customStyle="1" w:styleId="C806F46CA6314EB8A489FB4B57A03DAC">
    <w:name w:val="C806F46CA6314EB8A489FB4B57A03DAC"/>
  </w:style>
  <w:style w:type="paragraph" w:customStyle="1" w:styleId="FB9C5C8E2B0C490189BB9284E863ECCF">
    <w:name w:val="FB9C5C8E2B0C490189BB9284E863ECCF"/>
  </w:style>
  <w:style w:type="paragraph" w:customStyle="1" w:styleId="C99CF070D60C4D0E91147F8395932835">
    <w:name w:val="C99CF070D60C4D0E91147F8395932835"/>
  </w:style>
  <w:style w:type="paragraph" w:customStyle="1" w:styleId="0C9ECB825BE94012855BB7DEF93A3AED">
    <w:name w:val="0C9ECB825BE94012855BB7DEF93A3AED"/>
  </w:style>
  <w:style w:type="paragraph" w:customStyle="1" w:styleId="A91FF916416A44948E3FC64AFFC23432">
    <w:name w:val="A91FF916416A44948E3FC64AFFC23432"/>
  </w:style>
  <w:style w:type="paragraph" w:customStyle="1" w:styleId="2A8FD1DAAB0D449A923F471DAC91F995">
    <w:name w:val="2A8FD1DAAB0D449A923F471DAC91F995"/>
    <w:rsid w:val="007D5948"/>
  </w:style>
  <w:style w:type="paragraph" w:customStyle="1" w:styleId="68692F113F2B4425B31FEEE2823B7F12">
    <w:name w:val="68692F113F2B4425B31FEEE2823B7F12"/>
    <w:rsid w:val="007D5948"/>
  </w:style>
  <w:style w:type="paragraph" w:customStyle="1" w:styleId="2A3CF9A82E764E2CB423596D3C96EBB8">
    <w:name w:val="2A3CF9A82E764E2CB423596D3C96EBB8"/>
    <w:rsid w:val="007D5948"/>
  </w:style>
  <w:style w:type="paragraph" w:customStyle="1" w:styleId="2E67854B999047A68B2F96051F8E26D6">
    <w:name w:val="2E67854B999047A68B2F96051F8E26D6"/>
    <w:rsid w:val="007D5948"/>
  </w:style>
  <w:style w:type="paragraph" w:customStyle="1" w:styleId="35A9DB53471F4FAE8A6A30EE37EFC734">
    <w:name w:val="35A9DB53471F4FAE8A6A30EE37EFC734"/>
    <w:rsid w:val="004A0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D0EB-67EA-40FB-BF94-4A4C0085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8</Pages>
  <Words>4595</Words>
  <Characters>28034</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Ministeriet for Fødevarer, Landbrug og Fiskeri</vt:lpstr>
    </vt:vector>
  </TitlesOfParts>
  <Company>Fødevareministeriet</Company>
  <LinksUpToDate>false</LinksUpToDate>
  <CharactersWithSpaces>32564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Ministeriet for Fødevarer, Landbrug og Fiskeri</dc:title>
  <dc:subject/>
  <dc:creator>meb</dc:creator>
  <cp:keywords/>
  <cp:lastModifiedBy>Merete Buus (NaturErhvervstyrelsen)</cp:lastModifiedBy>
  <cp:revision>31</cp:revision>
  <cp:lastPrinted>2015-11-19T10:57:00Z</cp:lastPrinted>
  <dcterms:created xsi:type="dcterms:W3CDTF">2015-11-17T12:28:00Z</dcterms:created>
  <dcterms:modified xsi:type="dcterms:W3CDTF">2015-11-20T13:35:00Z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path">
    <vt:lpwstr>C:\Users\pwr\AppData\Local\Temp\20\SJ20131021121610914.DOC</vt:lpwstr>
  </property>
  <property fmtid="{D5CDD505-2E9C-101B-9397-08002B2CF9AE}" pid="8" name="title">
    <vt:lpwstr>Notat (det gode) (DOR561494)</vt:lpwstr>
  </property>
</Properties>
</file>