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D2" w:rsidRDefault="00EB42D2" w:rsidP="00EB42D2">
      <w:pPr>
        <w:spacing w:after="120" w:line="240" w:lineRule="auto"/>
        <w:rPr>
          <w:rFonts w:ascii="Verdana" w:hAnsi="Verdana"/>
          <w:b/>
          <w:szCs w:val="24"/>
        </w:rPr>
      </w:pPr>
      <w:r>
        <w:rPr>
          <w:rFonts w:ascii="Verdana" w:hAnsi="Verdana"/>
          <w:b/>
          <w:szCs w:val="24"/>
        </w:rPr>
        <w:t xml:space="preserve">Ministeriet for Fødevarer, Landbrug og Fiskeri </w:t>
      </w:r>
    </w:p>
    <w:p w:rsidR="00EB42D2" w:rsidRPr="0045045F" w:rsidRDefault="00EB42D2" w:rsidP="00EB42D2">
      <w:pPr>
        <w:tabs>
          <w:tab w:val="left" w:pos="6237"/>
        </w:tabs>
        <w:rPr>
          <w:rFonts w:ascii="Verdana" w:hAnsi="Verdana"/>
          <w:sz w:val="20"/>
          <w:szCs w:val="20"/>
        </w:rPr>
      </w:pPr>
      <w:r>
        <w:rPr>
          <w:rFonts w:ascii="Verdana" w:hAnsi="Verdana"/>
          <w:b/>
          <w:sz w:val="20"/>
        </w:rPr>
        <w:t xml:space="preserve">Institution: </w:t>
      </w:r>
      <w:r>
        <w:rPr>
          <w:rFonts w:ascii="Verdana" w:hAnsi="Verdana"/>
          <w:sz w:val="20"/>
        </w:rPr>
        <w:t>NaturErhvervstyrelsen</w:t>
      </w:r>
    </w:p>
    <w:p w:rsidR="00EB42D2" w:rsidRDefault="00EB42D2" w:rsidP="00A22F6F">
      <w:pPr>
        <w:spacing w:after="120"/>
        <w:rPr>
          <w:rFonts w:ascii="Verdana" w:hAnsi="Verdana"/>
          <w:b/>
          <w:sz w:val="24"/>
          <w:szCs w:val="24"/>
        </w:rPr>
      </w:pPr>
      <w:r>
        <w:rPr>
          <w:rFonts w:ascii="Verdana" w:hAnsi="Verdana"/>
          <w:b/>
          <w:sz w:val="20"/>
        </w:rPr>
        <w:t>Enhed/initialer:</w:t>
      </w:r>
      <w:r>
        <w:rPr>
          <w:rFonts w:ascii="Verdana" w:hAnsi="Verdana"/>
          <w:sz w:val="20"/>
        </w:rPr>
        <w:t xml:space="preserve"> </w:t>
      </w:r>
      <w:bookmarkStart w:id="0" w:name="sbh_afdeling_"/>
      <w:bookmarkEnd w:id="0"/>
      <w:r>
        <w:rPr>
          <w:rFonts w:ascii="Verdana" w:hAnsi="Verdana"/>
          <w:sz w:val="20"/>
        </w:rPr>
        <w:t>Planter/</w:t>
      </w:r>
      <w:bookmarkStart w:id="1" w:name="sagsbeh3__"/>
      <w:bookmarkEnd w:id="1"/>
      <w:r w:rsidR="00A17306">
        <w:rPr>
          <w:rFonts w:ascii="Verdana" w:hAnsi="Verdana"/>
          <w:sz w:val="20"/>
        </w:rPr>
        <w:t>MEB</w:t>
      </w:r>
      <w:r>
        <w:rPr>
          <w:rFonts w:ascii="Verdana" w:hAnsi="Verdana"/>
          <w:sz w:val="20"/>
        </w:rPr>
        <w:br/>
      </w:r>
      <w:r>
        <w:rPr>
          <w:rFonts w:ascii="Verdana" w:hAnsi="Verdana"/>
          <w:b/>
          <w:sz w:val="20"/>
        </w:rPr>
        <w:t>Sagsnr.:</w:t>
      </w:r>
      <w:r>
        <w:rPr>
          <w:rFonts w:ascii="Verdana" w:hAnsi="Verdana"/>
          <w:sz w:val="20"/>
        </w:rPr>
        <w:t xml:space="preserve"> </w:t>
      </w:r>
      <w:bookmarkStart w:id="2" w:name="sagsnr"/>
      <w:bookmarkEnd w:id="2"/>
      <w:r>
        <w:rPr>
          <w:rFonts w:ascii="Verdana" w:hAnsi="Verdana"/>
          <w:sz w:val="20"/>
        </w:rPr>
        <w:t xml:space="preserve"> 15-310</w:t>
      </w:r>
      <w:r w:rsidR="00A26E40">
        <w:rPr>
          <w:rFonts w:ascii="Verdana" w:hAnsi="Verdana"/>
          <w:sz w:val="20"/>
        </w:rPr>
        <w:t>13</w:t>
      </w:r>
      <w:r>
        <w:rPr>
          <w:rFonts w:ascii="Verdana" w:hAnsi="Verdana"/>
          <w:sz w:val="20"/>
        </w:rPr>
        <w:t>-00000</w:t>
      </w:r>
      <w:r w:rsidR="00A26E40">
        <w:rPr>
          <w:rFonts w:ascii="Verdana" w:hAnsi="Verdana"/>
          <w:sz w:val="20"/>
        </w:rPr>
        <w:t>3</w:t>
      </w:r>
      <w:r>
        <w:rPr>
          <w:rFonts w:ascii="Verdana" w:hAnsi="Verdana"/>
          <w:sz w:val="20"/>
        </w:rPr>
        <w:br/>
      </w:r>
      <w:r>
        <w:rPr>
          <w:rFonts w:ascii="Verdana" w:hAnsi="Verdana"/>
          <w:b/>
          <w:sz w:val="20"/>
        </w:rPr>
        <w:t>Dato:</w:t>
      </w:r>
      <w:r>
        <w:rPr>
          <w:rFonts w:ascii="Verdana" w:hAnsi="Verdana"/>
          <w:sz w:val="20"/>
        </w:rPr>
        <w:t xml:space="preserve"> </w:t>
      </w:r>
      <w:bookmarkStart w:id="3" w:name="dagsdato_dk"/>
      <w:bookmarkEnd w:id="3"/>
      <w:r w:rsidR="003F7794">
        <w:rPr>
          <w:rFonts w:ascii="Verdana" w:hAnsi="Verdana"/>
          <w:sz w:val="20"/>
        </w:rPr>
        <w:t>1</w:t>
      </w:r>
      <w:r w:rsidR="00236752">
        <w:rPr>
          <w:rFonts w:ascii="Verdana" w:hAnsi="Verdana"/>
          <w:sz w:val="20"/>
        </w:rPr>
        <w:t>5</w:t>
      </w:r>
      <w:r w:rsidR="00B46B16">
        <w:rPr>
          <w:rFonts w:ascii="Verdana" w:hAnsi="Verdana"/>
          <w:sz w:val="20"/>
        </w:rPr>
        <w:t>-04</w:t>
      </w:r>
      <w:r>
        <w:rPr>
          <w:rFonts w:ascii="Verdana" w:hAnsi="Verdana"/>
          <w:sz w:val="20"/>
        </w:rPr>
        <w:t>-2015</w:t>
      </w:r>
      <w:r w:rsidR="00A22F6F">
        <w:rPr>
          <w:rFonts w:ascii="Verdana" w:hAnsi="Verdana"/>
          <w:sz w:val="20"/>
        </w:rPr>
        <w:tab/>
      </w:r>
      <w:r w:rsidR="00A22F6F">
        <w:rPr>
          <w:rFonts w:ascii="Verdana" w:hAnsi="Verdana"/>
          <w:sz w:val="20"/>
        </w:rPr>
        <w:tab/>
      </w:r>
      <w:r w:rsidR="00A22F6F">
        <w:rPr>
          <w:rFonts w:ascii="Verdana" w:hAnsi="Verdana"/>
          <w:sz w:val="20"/>
        </w:rPr>
        <w:tab/>
      </w:r>
      <w:r w:rsidR="00A22F6F">
        <w:rPr>
          <w:rFonts w:ascii="Verdana" w:hAnsi="Verdana"/>
          <w:sz w:val="20"/>
        </w:rPr>
        <w:tab/>
      </w:r>
      <w:r w:rsidR="00A22F6F">
        <w:rPr>
          <w:rFonts w:ascii="Verdana" w:hAnsi="Verdana"/>
          <w:sz w:val="20"/>
        </w:rPr>
        <w:tab/>
      </w:r>
      <w:r w:rsidR="001702AC" w:rsidRPr="00393EC7">
        <w:rPr>
          <w:rFonts w:ascii="Verdana" w:hAnsi="Verdana"/>
          <w:b/>
          <w:sz w:val="24"/>
          <w:szCs w:val="24"/>
        </w:rPr>
        <w:t>Bilag 1</w:t>
      </w:r>
    </w:p>
    <w:p w:rsidR="00A22F6F" w:rsidRDefault="00A22F6F" w:rsidP="00A22F6F">
      <w:pPr>
        <w:spacing w:after="120"/>
        <w:rPr>
          <w:rFonts w:ascii="Verdana" w:hAnsi="Verdana"/>
          <w:b/>
          <w:sz w:val="24"/>
          <w:szCs w:val="24"/>
        </w:rPr>
      </w:pPr>
    </w:p>
    <w:p w:rsidR="00A22F6F" w:rsidRPr="00A22F6F" w:rsidRDefault="00A22F6F" w:rsidP="00A22F6F">
      <w:pPr>
        <w:spacing w:after="120"/>
        <w:rPr>
          <w:rFonts w:ascii="Verdana" w:hAnsi="Verdana"/>
          <w:sz w:val="20"/>
        </w:rPr>
      </w:pPr>
    </w:p>
    <w:p w:rsidR="00361138" w:rsidRDefault="00BE5758" w:rsidP="005F0E55">
      <w:pPr>
        <w:rPr>
          <w:rFonts w:ascii="Verdana" w:hAnsi="Verdana"/>
          <w:sz w:val="20"/>
          <w:szCs w:val="20"/>
        </w:rPr>
      </w:pPr>
      <w:r w:rsidRPr="005F0E55">
        <w:rPr>
          <w:rFonts w:ascii="Verdana" w:hAnsi="Verdana"/>
          <w:b/>
          <w:sz w:val="24"/>
          <w:szCs w:val="24"/>
        </w:rPr>
        <w:t>O</w:t>
      </w:r>
      <w:r w:rsidR="00A26E40">
        <w:rPr>
          <w:rFonts w:ascii="Verdana" w:hAnsi="Verdana"/>
          <w:b/>
          <w:sz w:val="24"/>
          <w:szCs w:val="24"/>
        </w:rPr>
        <w:t>plæg om kommerciel/ikke-kommerciel brug af frø</w:t>
      </w:r>
    </w:p>
    <w:p w:rsidR="00A26E40" w:rsidRPr="007C7E48" w:rsidRDefault="00A26E40" w:rsidP="00A26E40">
      <w:pPr>
        <w:spacing w:after="120"/>
        <w:rPr>
          <w:rFonts w:ascii="Verdana" w:hAnsi="Verdana"/>
          <w:sz w:val="20"/>
        </w:rPr>
      </w:pPr>
      <w:r w:rsidRPr="007C7E48">
        <w:rPr>
          <w:rFonts w:ascii="Verdana" w:hAnsi="Verdana"/>
          <w:b/>
          <w:sz w:val="20"/>
        </w:rPr>
        <w:t>Problemstilling</w:t>
      </w:r>
    </w:p>
    <w:p w:rsidR="00A26E40" w:rsidRPr="00236752" w:rsidRDefault="00A26E40" w:rsidP="00236752">
      <w:pPr>
        <w:rPr>
          <w:rFonts w:ascii="Verdana" w:hAnsi="Verdana"/>
          <w:sz w:val="20"/>
          <w:szCs w:val="20"/>
        </w:rPr>
      </w:pPr>
      <w:r w:rsidRPr="00236752">
        <w:rPr>
          <w:rFonts w:ascii="Verdana" w:hAnsi="Verdana"/>
          <w:sz w:val="20"/>
        </w:rPr>
        <w:t>Der er behov for præciseringer af reglerne på frøområd</w:t>
      </w:r>
      <w:r w:rsidRPr="007C7E48">
        <w:rPr>
          <w:rFonts w:ascii="Verdana" w:hAnsi="Verdana"/>
          <w:sz w:val="20"/>
        </w:rPr>
        <w:t>et</w:t>
      </w:r>
      <w:r>
        <w:rPr>
          <w:rFonts w:ascii="Verdana" w:hAnsi="Verdana"/>
          <w:sz w:val="20"/>
        </w:rPr>
        <w:t>, og hvem der er omfattet af dem</w:t>
      </w:r>
      <w:r w:rsidRPr="007C7E48">
        <w:rPr>
          <w:rFonts w:ascii="Verdana" w:hAnsi="Verdana"/>
          <w:sz w:val="20"/>
        </w:rPr>
        <w:t xml:space="preserve">. Der er en stigende interesse for handel med frø hos en række nye både kommercielle og ikke-kommercielle aktører, som </w:t>
      </w:r>
      <w:r>
        <w:rPr>
          <w:rFonts w:ascii="Verdana" w:hAnsi="Verdana"/>
          <w:sz w:val="20"/>
        </w:rPr>
        <w:t xml:space="preserve">oplever sig som </w:t>
      </w:r>
      <w:r w:rsidR="00DF13FC">
        <w:rPr>
          <w:rFonts w:ascii="Verdana" w:hAnsi="Verdana"/>
          <w:sz w:val="20"/>
        </w:rPr>
        <w:t>lovovertrædere</w:t>
      </w:r>
      <w:r>
        <w:rPr>
          <w:rFonts w:ascii="Verdana" w:hAnsi="Verdana"/>
          <w:sz w:val="20"/>
        </w:rPr>
        <w:t xml:space="preserve"> og har kritik af frølovgivningen</w:t>
      </w:r>
      <w:r w:rsidRPr="00236752">
        <w:rPr>
          <w:rFonts w:ascii="Verdana" w:hAnsi="Verdana"/>
          <w:sz w:val="20"/>
          <w:szCs w:val="20"/>
        </w:rPr>
        <w:t xml:space="preserve">. </w:t>
      </w:r>
      <w:r w:rsidR="00236752" w:rsidRPr="00236752">
        <w:rPr>
          <w:rFonts w:ascii="Verdana" w:hAnsi="Verdana"/>
          <w:sz w:val="20"/>
          <w:szCs w:val="20"/>
        </w:rPr>
        <w:t>Det skal præciseres hvad og hvem EU’s frølovgivning omfatter og hvordan forskellige aktører er omfattet af lovgivningen. Der skal findes løsninger, der tilgodeser ønsker om at bytte og handle frø og sædekorn.</w:t>
      </w:r>
    </w:p>
    <w:p w:rsidR="00A26E40" w:rsidRDefault="00A26E40" w:rsidP="005F0E55">
      <w:pPr>
        <w:rPr>
          <w:rFonts w:ascii="Verdana" w:hAnsi="Verdana"/>
          <w:sz w:val="20"/>
          <w:szCs w:val="20"/>
        </w:rPr>
      </w:pPr>
      <w:r>
        <w:rPr>
          <w:rFonts w:ascii="Verdana" w:hAnsi="Verdana"/>
          <w:b/>
          <w:sz w:val="20"/>
          <w:szCs w:val="20"/>
        </w:rPr>
        <w:t>Rammer</w:t>
      </w:r>
    </w:p>
    <w:p w:rsidR="00A26E40" w:rsidRDefault="00A26E40" w:rsidP="00A26E40">
      <w:pPr>
        <w:spacing w:after="120"/>
        <w:rPr>
          <w:rFonts w:ascii="Verdana" w:hAnsi="Verdana"/>
          <w:sz w:val="20"/>
        </w:rPr>
      </w:pPr>
      <w:r>
        <w:rPr>
          <w:rFonts w:ascii="Verdana" w:hAnsi="Verdana"/>
          <w:sz w:val="20"/>
        </w:rPr>
        <w:t xml:space="preserve">EU’s markedsdirektiver om handel med frø har ophæng i EU’s landbrugspolitik, som har </w:t>
      </w:r>
      <w:r w:rsidR="009047C8">
        <w:rPr>
          <w:rFonts w:ascii="Verdana" w:hAnsi="Verdana"/>
          <w:sz w:val="20"/>
        </w:rPr>
        <w:t>følgende sigte:</w:t>
      </w:r>
    </w:p>
    <w:tbl>
      <w:tblPr>
        <w:tblStyle w:val="Tabel-Gitter"/>
        <w:tblW w:w="0" w:type="auto"/>
        <w:tblLook w:val="04A0" w:firstRow="1" w:lastRow="0" w:firstColumn="1" w:lastColumn="0" w:noHBand="0" w:noVBand="1"/>
      </w:tblPr>
      <w:tblGrid>
        <w:gridCol w:w="9778"/>
      </w:tblGrid>
      <w:tr w:rsidR="009047C8" w:rsidTr="009047C8">
        <w:tc>
          <w:tcPr>
            <w:tcW w:w="9778" w:type="dxa"/>
          </w:tcPr>
          <w:p w:rsidR="009047C8" w:rsidRPr="009047C8" w:rsidRDefault="00DF13FC" w:rsidP="009047C8">
            <w:pPr>
              <w:spacing w:after="120"/>
              <w:rPr>
                <w:rFonts w:ascii="Verdana" w:hAnsi="Verdana"/>
                <w:b/>
                <w:sz w:val="16"/>
                <w:szCs w:val="16"/>
              </w:rPr>
            </w:pPr>
            <w:r>
              <w:rPr>
                <w:rFonts w:ascii="Verdana" w:hAnsi="Verdana"/>
                <w:b/>
                <w:sz w:val="16"/>
                <w:szCs w:val="16"/>
              </w:rPr>
              <w:t>Lissabon</w:t>
            </w:r>
            <w:r w:rsidR="009047C8" w:rsidRPr="009047C8">
              <w:rPr>
                <w:rFonts w:ascii="Verdana" w:hAnsi="Verdana"/>
                <w:b/>
                <w:sz w:val="16"/>
                <w:szCs w:val="16"/>
              </w:rPr>
              <w:t xml:space="preserve">traktaten, artikel </w:t>
            </w:r>
            <w:r>
              <w:rPr>
                <w:rFonts w:ascii="Verdana" w:hAnsi="Verdana"/>
                <w:b/>
                <w:sz w:val="16"/>
                <w:szCs w:val="16"/>
              </w:rPr>
              <w:t>39</w:t>
            </w:r>
          </w:p>
          <w:p w:rsidR="009047C8" w:rsidRPr="009047C8" w:rsidRDefault="009047C8" w:rsidP="009047C8">
            <w:pPr>
              <w:spacing w:after="120"/>
              <w:rPr>
                <w:rFonts w:ascii="Verdana" w:hAnsi="Verdana"/>
                <w:sz w:val="16"/>
                <w:szCs w:val="16"/>
              </w:rPr>
            </w:pPr>
            <w:r w:rsidRPr="009047C8">
              <w:rPr>
                <w:rFonts w:ascii="Verdana" w:hAnsi="Verdana"/>
                <w:sz w:val="16"/>
                <w:szCs w:val="16"/>
              </w:rPr>
              <w:t xml:space="preserve">a) at forøge landbrugets produktivitet, </w:t>
            </w:r>
          </w:p>
          <w:p w:rsidR="009047C8" w:rsidRPr="009047C8" w:rsidRDefault="009047C8" w:rsidP="009047C8">
            <w:pPr>
              <w:spacing w:after="120"/>
              <w:rPr>
                <w:rFonts w:ascii="Verdana" w:hAnsi="Verdana"/>
                <w:sz w:val="16"/>
                <w:szCs w:val="16"/>
              </w:rPr>
            </w:pPr>
            <w:r w:rsidRPr="009047C8">
              <w:rPr>
                <w:rFonts w:ascii="Verdana" w:hAnsi="Verdana"/>
                <w:sz w:val="16"/>
                <w:szCs w:val="16"/>
              </w:rPr>
              <w:t xml:space="preserve">b) at sikre en rimelig levestandard for landbrugsbefolkningen, </w:t>
            </w:r>
          </w:p>
          <w:p w:rsidR="009047C8" w:rsidRPr="009047C8" w:rsidRDefault="009047C8" w:rsidP="009047C8">
            <w:pPr>
              <w:spacing w:after="120"/>
              <w:rPr>
                <w:rFonts w:ascii="Verdana" w:hAnsi="Verdana"/>
                <w:sz w:val="16"/>
                <w:szCs w:val="16"/>
              </w:rPr>
            </w:pPr>
            <w:r w:rsidRPr="009047C8">
              <w:rPr>
                <w:rFonts w:ascii="Verdana" w:hAnsi="Verdana"/>
                <w:sz w:val="16"/>
                <w:szCs w:val="16"/>
              </w:rPr>
              <w:t xml:space="preserve">c) at stabilisere markederne, </w:t>
            </w:r>
          </w:p>
          <w:p w:rsidR="009047C8" w:rsidRPr="009047C8" w:rsidRDefault="009047C8" w:rsidP="009047C8">
            <w:pPr>
              <w:spacing w:after="120"/>
              <w:rPr>
                <w:rFonts w:ascii="Verdana" w:hAnsi="Verdana"/>
                <w:sz w:val="16"/>
                <w:szCs w:val="16"/>
              </w:rPr>
            </w:pPr>
            <w:r w:rsidRPr="009047C8">
              <w:rPr>
                <w:rFonts w:ascii="Verdana" w:hAnsi="Verdana"/>
                <w:sz w:val="16"/>
                <w:szCs w:val="16"/>
              </w:rPr>
              <w:t xml:space="preserve">d) at sikre forsyningssikkerheden, og </w:t>
            </w:r>
          </w:p>
          <w:p w:rsidR="009047C8" w:rsidRPr="009047C8" w:rsidRDefault="009047C8" w:rsidP="00A26E40">
            <w:pPr>
              <w:spacing w:after="120"/>
              <w:rPr>
                <w:rFonts w:ascii="Verdana" w:hAnsi="Verdana"/>
                <w:sz w:val="16"/>
                <w:szCs w:val="16"/>
              </w:rPr>
            </w:pPr>
            <w:r w:rsidRPr="009047C8">
              <w:rPr>
                <w:rFonts w:ascii="Verdana" w:hAnsi="Verdana"/>
                <w:sz w:val="16"/>
                <w:szCs w:val="16"/>
              </w:rPr>
              <w:t>e) at sikre rimelige priser til forbrugerne.</w:t>
            </w:r>
          </w:p>
        </w:tc>
      </w:tr>
    </w:tbl>
    <w:p w:rsidR="009047C8" w:rsidRDefault="009047C8" w:rsidP="00A26E40">
      <w:pPr>
        <w:spacing w:after="120"/>
        <w:rPr>
          <w:rFonts w:ascii="Verdana" w:hAnsi="Verdana"/>
          <w:sz w:val="20"/>
        </w:rPr>
      </w:pPr>
    </w:p>
    <w:p w:rsidR="00A26E40" w:rsidRDefault="00A26E40" w:rsidP="00A26E40">
      <w:pPr>
        <w:spacing w:after="120"/>
        <w:rPr>
          <w:rFonts w:ascii="Verdana" w:hAnsi="Verdana"/>
          <w:sz w:val="20"/>
        </w:rPr>
      </w:pPr>
      <w:r>
        <w:rPr>
          <w:rFonts w:ascii="Verdana" w:hAnsi="Verdana"/>
          <w:sz w:val="20"/>
        </w:rPr>
        <w:t xml:space="preserve">Det vurderes dermed, at direktiverne retter sig mod </w:t>
      </w:r>
      <w:r w:rsidRPr="000D7569">
        <w:rPr>
          <w:rFonts w:ascii="Verdana" w:hAnsi="Verdana"/>
          <w:b/>
          <w:sz w:val="20"/>
        </w:rPr>
        <w:t>handel med frø med henblik på et kommercielt sigte indenfor landbrugs- og gartneriproduktion</w:t>
      </w:r>
      <w:r>
        <w:rPr>
          <w:rFonts w:ascii="Verdana" w:hAnsi="Verdana"/>
          <w:sz w:val="20"/>
        </w:rPr>
        <w:t>.</w:t>
      </w:r>
      <w:r w:rsidR="00B23157">
        <w:rPr>
          <w:rFonts w:ascii="Verdana" w:hAnsi="Verdana"/>
          <w:sz w:val="20"/>
        </w:rPr>
        <w:t xml:space="preserve"> </w:t>
      </w:r>
      <w:r>
        <w:rPr>
          <w:rFonts w:ascii="Verdana" w:hAnsi="Verdana"/>
          <w:sz w:val="20"/>
        </w:rPr>
        <w:t xml:space="preserve">Dette fremgår også af </w:t>
      </w:r>
      <w:r w:rsidR="00A17306">
        <w:rPr>
          <w:rFonts w:ascii="Verdana" w:hAnsi="Verdana"/>
          <w:sz w:val="20"/>
        </w:rPr>
        <w:t>de indledende betragtninger i direktiverne. Som eksempel kan nævnes markedsdirektivet om grønsagsfrø, der i betragtning 2-4 angiver følgende:</w:t>
      </w:r>
    </w:p>
    <w:tbl>
      <w:tblPr>
        <w:tblStyle w:val="Tabel-Gitter"/>
        <w:tblW w:w="0" w:type="auto"/>
        <w:tblLook w:val="04A0" w:firstRow="1" w:lastRow="0" w:firstColumn="1" w:lastColumn="0" w:noHBand="0" w:noVBand="1"/>
      </w:tblPr>
      <w:tblGrid>
        <w:gridCol w:w="9778"/>
      </w:tblGrid>
      <w:tr w:rsidR="009047C8" w:rsidTr="00F2167C">
        <w:tc>
          <w:tcPr>
            <w:tcW w:w="9778" w:type="dxa"/>
          </w:tcPr>
          <w:p w:rsidR="009047C8" w:rsidRPr="009047C8" w:rsidRDefault="009047C8" w:rsidP="009047C8">
            <w:pPr>
              <w:autoSpaceDE w:val="0"/>
              <w:autoSpaceDN w:val="0"/>
              <w:adjustRightInd w:val="0"/>
              <w:spacing w:after="120"/>
              <w:rPr>
                <w:rFonts w:ascii="Verdana" w:hAnsi="Verdana" w:cs="EUAlbertina"/>
                <w:b/>
                <w:sz w:val="16"/>
                <w:szCs w:val="16"/>
                <w:lang w:eastAsia="da-DK"/>
              </w:rPr>
            </w:pPr>
            <w:r>
              <w:rPr>
                <w:rFonts w:ascii="Verdana" w:hAnsi="Verdana" w:cs="EUAlbertina"/>
                <w:b/>
                <w:sz w:val="16"/>
                <w:szCs w:val="16"/>
                <w:lang w:eastAsia="da-DK"/>
              </w:rPr>
              <w:t>EU’s markedsdirektiv om grønsagsfrø</w:t>
            </w:r>
          </w:p>
          <w:p w:rsidR="009047C8" w:rsidRDefault="009047C8" w:rsidP="009047C8">
            <w:pPr>
              <w:autoSpaceDE w:val="0"/>
              <w:autoSpaceDN w:val="0"/>
              <w:adjustRightInd w:val="0"/>
              <w:spacing w:after="120"/>
              <w:rPr>
                <w:rFonts w:ascii="Verdana" w:hAnsi="Verdana" w:cs="EUAlbertina"/>
                <w:sz w:val="16"/>
                <w:szCs w:val="16"/>
                <w:lang w:eastAsia="da-DK"/>
              </w:rPr>
            </w:pPr>
            <w:r w:rsidRPr="00A17306">
              <w:rPr>
                <w:rFonts w:ascii="Verdana" w:hAnsi="Verdana" w:cs="EUAlbertina"/>
                <w:sz w:val="16"/>
                <w:szCs w:val="16"/>
                <w:lang w:eastAsia="da-DK"/>
              </w:rPr>
              <w:t>(2) Produktionen af grøntsager spiller en stor rolle inden for</w:t>
            </w:r>
            <w:r>
              <w:rPr>
                <w:rFonts w:ascii="Verdana" w:hAnsi="Verdana" w:cs="EUAlbertina"/>
                <w:sz w:val="16"/>
                <w:szCs w:val="16"/>
                <w:lang w:eastAsia="da-DK"/>
              </w:rPr>
              <w:t xml:space="preserve"> </w:t>
            </w:r>
            <w:r w:rsidRPr="00A17306">
              <w:rPr>
                <w:rFonts w:ascii="Verdana" w:hAnsi="Verdana" w:cs="EUAlbertina"/>
                <w:sz w:val="16"/>
                <w:szCs w:val="16"/>
                <w:lang w:eastAsia="da-DK"/>
              </w:rPr>
              <w:t>Fællesskabets jordbrug.</w:t>
            </w:r>
          </w:p>
          <w:p w:rsidR="009047C8" w:rsidRDefault="009047C8" w:rsidP="009047C8">
            <w:pPr>
              <w:autoSpaceDE w:val="0"/>
              <w:autoSpaceDN w:val="0"/>
              <w:adjustRightInd w:val="0"/>
              <w:spacing w:after="120"/>
              <w:rPr>
                <w:rFonts w:ascii="Verdana" w:hAnsi="Verdana" w:cs="EUAlbertina"/>
                <w:sz w:val="16"/>
                <w:szCs w:val="16"/>
                <w:lang w:eastAsia="da-DK"/>
              </w:rPr>
            </w:pPr>
            <w:r w:rsidRPr="00A17306">
              <w:rPr>
                <w:rFonts w:ascii="Verdana" w:hAnsi="Verdana" w:cs="EUAlbertina"/>
                <w:sz w:val="16"/>
                <w:szCs w:val="16"/>
                <w:lang w:eastAsia="da-DK"/>
              </w:rPr>
              <w:t>(3) Tilfredsstillende resultater af dyrkningen af grøntsager</w:t>
            </w:r>
            <w:r>
              <w:rPr>
                <w:rFonts w:ascii="Verdana" w:hAnsi="Verdana" w:cs="EUAlbertina"/>
                <w:sz w:val="16"/>
                <w:szCs w:val="16"/>
                <w:lang w:eastAsia="da-DK"/>
              </w:rPr>
              <w:t xml:space="preserve"> </w:t>
            </w:r>
            <w:r w:rsidRPr="00A17306">
              <w:rPr>
                <w:rFonts w:ascii="Verdana" w:hAnsi="Verdana" w:cs="EUAlbertina"/>
                <w:sz w:val="16"/>
                <w:szCs w:val="16"/>
                <w:lang w:eastAsia="da-DK"/>
              </w:rPr>
              <w:t xml:space="preserve">afhænger i vid udstrækning af kvaliteten og den </w:t>
            </w:r>
            <w:r>
              <w:rPr>
                <w:rFonts w:ascii="Verdana" w:hAnsi="Verdana" w:cs="EUAlbertina"/>
                <w:sz w:val="16"/>
                <w:szCs w:val="16"/>
                <w:lang w:eastAsia="da-DK"/>
              </w:rPr>
              <w:t xml:space="preserve">fytosanitære </w:t>
            </w:r>
            <w:r w:rsidRPr="00A17306">
              <w:rPr>
                <w:rFonts w:ascii="Verdana" w:hAnsi="Verdana" w:cs="EUAlbertina"/>
                <w:sz w:val="16"/>
                <w:szCs w:val="16"/>
                <w:lang w:eastAsia="da-DK"/>
              </w:rPr>
              <w:t>tilstand ikke blot for frø, som allerede er omfattet</w:t>
            </w:r>
            <w:r>
              <w:rPr>
                <w:rFonts w:ascii="Verdana" w:hAnsi="Verdana" w:cs="EUAlbertina"/>
                <w:sz w:val="16"/>
                <w:szCs w:val="16"/>
                <w:lang w:eastAsia="da-DK"/>
              </w:rPr>
              <w:t xml:space="preserve"> </w:t>
            </w:r>
            <w:r w:rsidRPr="00A17306">
              <w:rPr>
                <w:rFonts w:ascii="Verdana" w:hAnsi="Verdana" w:cs="EUAlbertina"/>
                <w:sz w:val="16"/>
                <w:szCs w:val="16"/>
                <w:lang w:eastAsia="da-DK"/>
              </w:rPr>
              <w:t>af Rådets direktiv 2002/55/EF af 13. juni 2002 om</w:t>
            </w:r>
            <w:r>
              <w:rPr>
                <w:rFonts w:ascii="Verdana" w:hAnsi="Verdana" w:cs="EUAlbertina"/>
                <w:sz w:val="16"/>
                <w:szCs w:val="16"/>
                <w:lang w:eastAsia="da-DK"/>
              </w:rPr>
              <w:t xml:space="preserve"> </w:t>
            </w:r>
            <w:r w:rsidRPr="00A17306">
              <w:rPr>
                <w:rFonts w:ascii="Verdana" w:hAnsi="Verdana" w:cs="EUAlbertina"/>
                <w:sz w:val="16"/>
                <w:szCs w:val="16"/>
                <w:lang w:eastAsia="da-DK"/>
              </w:rPr>
              <w:t>handel med grøntsagsfrø (4), men også for det plantemateriale</w:t>
            </w:r>
            <w:r>
              <w:rPr>
                <w:rFonts w:ascii="Verdana" w:hAnsi="Verdana" w:cs="EUAlbertina"/>
                <w:sz w:val="16"/>
                <w:szCs w:val="16"/>
                <w:lang w:eastAsia="da-DK"/>
              </w:rPr>
              <w:t xml:space="preserve"> </w:t>
            </w:r>
            <w:r w:rsidRPr="00A17306">
              <w:rPr>
                <w:rFonts w:ascii="Verdana" w:hAnsi="Verdana" w:cs="EUAlbertina"/>
                <w:sz w:val="16"/>
                <w:szCs w:val="16"/>
                <w:lang w:eastAsia="da-DK"/>
              </w:rPr>
              <w:t>og formeringsmateriale, der anvendes til formering</w:t>
            </w:r>
            <w:r>
              <w:rPr>
                <w:rFonts w:ascii="Verdana" w:hAnsi="Verdana" w:cs="EUAlbertina"/>
                <w:sz w:val="16"/>
                <w:szCs w:val="16"/>
                <w:lang w:eastAsia="da-DK"/>
              </w:rPr>
              <w:t xml:space="preserve"> </w:t>
            </w:r>
            <w:r w:rsidRPr="00A17306">
              <w:rPr>
                <w:rFonts w:ascii="Verdana" w:hAnsi="Verdana" w:cs="EUAlbertina"/>
                <w:sz w:val="16"/>
                <w:szCs w:val="16"/>
                <w:lang w:eastAsia="da-DK"/>
              </w:rPr>
              <w:t>af grøntsagsplanter.</w:t>
            </w:r>
          </w:p>
          <w:p w:rsidR="009047C8" w:rsidRDefault="009047C8" w:rsidP="009047C8">
            <w:pPr>
              <w:autoSpaceDE w:val="0"/>
              <w:autoSpaceDN w:val="0"/>
              <w:adjustRightInd w:val="0"/>
              <w:spacing w:after="120"/>
              <w:rPr>
                <w:rFonts w:ascii="Verdana" w:hAnsi="Verdana"/>
                <w:sz w:val="20"/>
              </w:rPr>
            </w:pPr>
            <w:r w:rsidRPr="00A17306">
              <w:rPr>
                <w:rFonts w:ascii="Verdana" w:hAnsi="Verdana" w:cs="EUAlbertina"/>
                <w:sz w:val="16"/>
                <w:szCs w:val="16"/>
                <w:lang w:eastAsia="da-DK"/>
              </w:rPr>
              <w:t>(4) Forskellene i behandlingen af formerings- og plantemateriale</w:t>
            </w:r>
            <w:r>
              <w:rPr>
                <w:rFonts w:ascii="Verdana" w:hAnsi="Verdana" w:cs="EUAlbertina"/>
                <w:sz w:val="16"/>
                <w:szCs w:val="16"/>
                <w:lang w:eastAsia="da-DK"/>
              </w:rPr>
              <w:t xml:space="preserve"> </w:t>
            </w:r>
            <w:r w:rsidRPr="00A17306">
              <w:rPr>
                <w:rFonts w:ascii="Verdana" w:hAnsi="Verdana" w:cs="EUAlbertina"/>
                <w:sz w:val="16"/>
                <w:szCs w:val="16"/>
                <w:lang w:eastAsia="da-DK"/>
              </w:rPr>
              <w:t>af grøntsagsplanter i de forskellige medlemsstater</w:t>
            </w:r>
            <w:r>
              <w:rPr>
                <w:rFonts w:ascii="Verdana" w:hAnsi="Verdana" w:cs="EUAlbertina"/>
                <w:sz w:val="16"/>
                <w:szCs w:val="16"/>
                <w:lang w:eastAsia="da-DK"/>
              </w:rPr>
              <w:t xml:space="preserve"> </w:t>
            </w:r>
            <w:r w:rsidRPr="00A17306">
              <w:rPr>
                <w:rFonts w:ascii="Verdana" w:hAnsi="Verdana" w:cs="EUAlbertina"/>
                <w:sz w:val="16"/>
                <w:szCs w:val="16"/>
                <w:lang w:eastAsia="da-DK"/>
              </w:rPr>
              <w:t>kan resultere i handelshindringer og således hæmme</w:t>
            </w:r>
            <w:r>
              <w:rPr>
                <w:rFonts w:ascii="Verdana" w:hAnsi="Verdana" w:cs="EUAlbertina"/>
                <w:sz w:val="16"/>
                <w:szCs w:val="16"/>
                <w:lang w:eastAsia="da-DK"/>
              </w:rPr>
              <w:t xml:space="preserve"> </w:t>
            </w:r>
            <w:r w:rsidRPr="00A17306">
              <w:rPr>
                <w:rFonts w:ascii="Verdana" w:hAnsi="Verdana" w:cs="EUAlbertina"/>
                <w:sz w:val="16"/>
                <w:szCs w:val="16"/>
                <w:lang w:eastAsia="da-DK"/>
              </w:rPr>
              <w:t>disse produkters frie bevægelighed inden for Fællesskabet.</w:t>
            </w:r>
          </w:p>
        </w:tc>
      </w:tr>
    </w:tbl>
    <w:p w:rsidR="009047C8" w:rsidRDefault="009047C8" w:rsidP="00A17306">
      <w:pPr>
        <w:spacing w:after="120"/>
        <w:rPr>
          <w:rFonts w:ascii="Verdana" w:hAnsi="Verdana" w:cs="EUAlbertina"/>
          <w:sz w:val="20"/>
          <w:szCs w:val="20"/>
          <w:lang w:eastAsia="da-DK"/>
        </w:rPr>
      </w:pPr>
    </w:p>
    <w:p w:rsidR="00DF4D13" w:rsidRDefault="00DF4D13" w:rsidP="00A17306">
      <w:pPr>
        <w:spacing w:after="120"/>
        <w:rPr>
          <w:rFonts w:ascii="Verdana" w:hAnsi="Verdana" w:cs="EUAlbertina"/>
          <w:sz w:val="20"/>
          <w:szCs w:val="20"/>
          <w:lang w:eastAsia="da-DK"/>
        </w:rPr>
      </w:pPr>
      <w:r>
        <w:rPr>
          <w:rFonts w:ascii="Verdana" w:hAnsi="Verdana" w:cs="EUAlbertina"/>
          <w:sz w:val="20"/>
          <w:szCs w:val="20"/>
          <w:lang w:eastAsia="da-DK"/>
        </w:rPr>
        <w:t xml:space="preserve">Tilsvarende betragtninger går igen i de </w:t>
      </w:r>
      <w:r w:rsidR="009047C8">
        <w:rPr>
          <w:rFonts w:ascii="Verdana" w:hAnsi="Verdana" w:cs="EUAlbertina"/>
          <w:sz w:val="20"/>
          <w:szCs w:val="20"/>
          <w:lang w:eastAsia="da-DK"/>
        </w:rPr>
        <w:t>øvrige</w:t>
      </w:r>
      <w:r>
        <w:rPr>
          <w:rFonts w:ascii="Verdana" w:hAnsi="Verdana" w:cs="EUAlbertina"/>
          <w:sz w:val="20"/>
          <w:szCs w:val="20"/>
          <w:lang w:eastAsia="da-DK"/>
        </w:rPr>
        <w:t xml:space="preserve"> markedsdirektiver</w:t>
      </w:r>
      <w:r w:rsidR="009047C8">
        <w:rPr>
          <w:rFonts w:ascii="Verdana" w:hAnsi="Verdana" w:cs="EUAlbertina"/>
          <w:sz w:val="20"/>
          <w:szCs w:val="20"/>
          <w:lang w:eastAsia="da-DK"/>
        </w:rPr>
        <w:t>.</w:t>
      </w:r>
    </w:p>
    <w:p w:rsidR="002A4FEC" w:rsidRDefault="00B23157" w:rsidP="00A17306">
      <w:pPr>
        <w:spacing w:after="120"/>
        <w:rPr>
          <w:rFonts w:ascii="Verdana" w:hAnsi="Verdana" w:cs="EUAlbertina"/>
          <w:sz w:val="20"/>
          <w:szCs w:val="20"/>
          <w:lang w:eastAsia="da-DK"/>
        </w:rPr>
        <w:sectPr w:rsidR="002A4FEC" w:rsidSect="00B23157">
          <w:footerReference w:type="default" r:id="rId9"/>
          <w:pgSz w:w="11906" w:h="16838"/>
          <w:pgMar w:top="1135" w:right="1134" w:bottom="993" w:left="1134" w:header="708" w:footer="78" w:gutter="0"/>
          <w:cols w:space="708"/>
          <w:docGrid w:linePitch="360"/>
        </w:sectPr>
      </w:pPr>
      <w:r w:rsidRPr="00B23157">
        <w:rPr>
          <w:rFonts w:ascii="Verdana" w:hAnsi="Verdana" w:cs="EUAlbertina"/>
          <w:sz w:val="20"/>
          <w:szCs w:val="20"/>
          <w:lang w:eastAsia="da-DK"/>
        </w:rPr>
        <w:t xml:space="preserve">I </w:t>
      </w:r>
      <w:r w:rsidR="00E350EE">
        <w:rPr>
          <w:rFonts w:ascii="Verdana" w:hAnsi="Verdana" w:cs="EUAlbertina"/>
          <w:sz w:val="20"/>
          <w:szCs w:val="20"/>
          <w:lang w:eastAsia="da-DK"/>
        </w:rPr>
        <w:t>følgende figur om handel og overdragelse af frø</w:t>
      </w:r>
      <w:r w:rsidRPr="00B23157">
        <w:rPr>
          <w:rFonts w:ascii="Verdana" w:hAnsi="Verdana" w:cs="EUAlbertina"/>
          <w:sz w:val="20"/>
          <w:szCs w:val="20"/>
          <w:lang w:eastAsia="da-DK"/>
        </w:rPr>
        <w:t xml:space="preserve"> er der ta</w:t>
      </w:r>
      <w:r w:rsidR="00E350EE">
        <w:rPr>
          <w:rFonts w:ascii="Verdana" w:hAnsi="Verdana" w:cs="EUAlbertina"/>
          <w:sz w:val="20"/>
          <w:szCs w:val="20"/>
          <w:lang w:eastAsia="da-DK"/>
        </w:rPr>
        <w:t>ges udgangspunkt i disse rammer:</w:t>
      </w:r>
    </w:p>
    <w:p w:rsidR="00A26E40" w:rsidRPr="00A26E40" w:rsidRDefault="00913909" w:rsidP="002A4FEC">
      <w:pPr>
        <w:spacing w:after="120"/>
        <w:rPr>
          <w:rFonts w:ascii="Verdana" w:hAnsi="Verdana"/>
          <w:sz w:val="20"/>
          <w:szCs w:val="20"/>
        </w:rPr>
      </w:pPr>
      <w:bookmarkStart w:id="4" w:name="_GoBack"/>
      <w:bookmarkEnd w:id="4"/>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3pt;width:565.15pt;height:399.4pt;z-index:-251657216;visibility:visible;mso-wrap-style:square;mso-position-horizontal:center;mso-position-horizontal-relative:text;mso-position-vertical:absolute;mso-position-vertical-relative:text;mso-width-relative:page;mso-height-relative:page" wrapcoords="-29 0 -29 21559 21600 21559 21600 0 -29 0">
            <v:imagedata r:id="rId10" o:title=""/>
            <w10:wrap type="through"/>
          </v:shape>
        </w:pict>
      </w:r>
    </w:p>
    <w:sectPr w:rsidR="00A26E40" w:rsidRPr="00A26E40" w:rsidSect="00913909">
      <w:pgSz w:w="11906" w:h="16838"/>
      <w:pgMar w:top="1135" w:right="709" w:bottom="993" w:left="709" w:header="708"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F8" w:rsidRDefault="00B342F8" w:rsidP="000A634A">
      <w:pPr>
        <w:spacing w:after="0" w:line="240" w:lineRule="auto"/>
      </w:pPr>
      <w:r>
        <w:separator/>
      </w:r>
    </w:p>
  </w:endnote>
  <w:endnote w:type="continuationSeparator" w:id="0">
    <w:p w:rsidR="00B342F8" w:rsidRDefault="00B342F8" w:rsidP="000A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U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57" w:rsidRDefault="00B46B16">
    <w:pPr>
      <w:pStyle w:val="Sidefod"/>
      <w:jc w:val="right"/>
    </w:pPr>
    <w:r>
      <w:fldChar w:fldCharType="begin"/>
    </w:r>
    <w:r>
      <w:instrText>PAGE   \* MERGEFORMAT</w:instrText>
    </w:r>
    <w:r>
      <w:fldChar w:fldCharType="separate"/>
    </w:r>
    <w:r w:rsidR="00913909">
      <w:rPr>
        <w:noProof/>
      </w:rPr>
      <w:t>2</w:t>
    </w:r>
    <w:r>
      <w:rPr>
        <w:noProof/>
      </w:rPr>
      <w:fldChar w:fldCharType="end"/>
    </w:r>
  </w:p>
  <w:p w:rsidR="00A87E72" w:rsidRDefault="00A87E7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F8" w:rsidRDefault="00B342F8" w:rsidP="000A634A">
      <w:pPr>
        <w:spacing w:after="0" w:line="240" w:lineRule="auto"/>
      </w:pPr>
      <w:r>
        <w:separator/>
      </w:r>
    </w:p>
  </w:footnote>
  <w:footnote w:type="continuationSeparator" w:id="0">
    <w:p w:rsidR="00B342F8" w:rsidRDefault="00B342F8" w:rsidP="000A6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1E6"/>
    <w:multiLevelType w:val="hybridMultilevel"/>
    <w:tmpl w:val="75825D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8718C9"/>
    <w:multiLevelType w:val="hybridMultilevel"/>
    <w:tmpl w:val="70E0D3E0"/>
    <w:lvl w:ilvl="0" w:tplc="04060001">
      <w:start w:val="1"/>
      <w:numFmt w:val="bullet"/>
      <w:lvlText w:val=""/>
      <w:lvlJc w:val="left"/>
      <w:pPr>
        <w:ind w:left="788" w:hanging="360"/>
      </w:pPr>
      <w:rPr>
        <w:rFonts w:ascii="Symbol" w:hAnsi="Symbol" w:hint="default"/>
      </w:rPr>
    </w:lvl>
    <w:lvl w:ilvl="1" w:tplc="04060003" w:tentative="1">
      <w:start w:val="1"/>
      <w:numFmt w:val="bullet"/>
      <w:lvlText w:val="o"/>
      <w:lvlJc w:val="left"/>
      <w:pPr>
        <w:ind w:left="1508" w:hanging="360"/>
      </w:pPr>
      <w:rPr>
        <w:rFonts w:ascii="Courier New" w:hAnsi="Courier New" w:cs="Courier New" w:hint="default"/>
      </w:rPr>
    </w:lvl>
    <w:lvl w:ilvl="2" w:tplc="04060005" w:tentative="1">
      <w:start w:val="1"/>
      <w:numFmt w:val="bullet"/>
      <w:lvlText w:val=""/>
      <w:lvlJc w:val="left"/>
      <w:pPr>
        <w:ind w:left="2228" w:hanging="360"/>
      </w:pPr>
      <w:rPr>
        <w:rFonts w:ascii="Wingdings" w:hAnsi="Wingdings" w:hint="default"/>
      </w:rPr>
    </w:lvl>
    <w:lvl w:ilvl="3" w:tplc="04060001" w:tentative="1">
      <w:start w:val="1"/>
      <w:numFmt w:val="bullet"/>
      <w:lvlText w:val=""/>
      <w:lvlJc w:val="left"/>
      <w:pPr>
        <w:ind w:left="2948" w:hanging="360"/>
      </w:pPr>
      <w:rPr>
        <w:rFonts w:ascii="Symbol" w:hAnsi="Symbol" w:hint="default"/>
      </w:rPr>
    </w:lvl>
    <w:lvl w:ilvl="4" w:tplc="04060003" w:tentative="1">
      <w:start w:val="1"/>
      <w:numFmt w:val="bullet"/>
      <w:lvlText w:val="o"/>
      <w:lvlJc w:val="left"/>
      <w:pPr>
        <w:ind w:left="3668" w:hanging="360"/>
      </w:pPr>
      <w:rPr>
        <w:rFonts w:ascii="Courier New" w:hAnsi="Courier New" w:cs="Courier New" w:hint="default"/>
      </w:rPr>
    </w:lvl>
    <w:lvl w:ilvl="5" w:tplc="04060005" w:tentative="1">
      <w:start w:val="1"/>
      <w:numFmt w:val="bullet"/>
      <w:lvlText w:val=""/>
      <w:lvlJc w:val="left"/>
      <w:pPr>
        <w:ind w:left="4388" w:hanging="360"/>
      </w:pPr>
      <w:rPr>
        <w:rFonts w:ascii="Wingdings" w:hAnsi="Wingdings" w:hint="default"/>
      </w:rPr>
    </w:lvl>
    <w:lvl w:ilvl="6" w:tplc="04060001" w:tentative="1">
      <w:start w:val="1"/>
      <w:numFmt w:val="bullet"/>
      <w:lvlText w:val=""/>
      <w:lvlJc w:val="left"/>
      <w:pPr>
        <w:ind w:left="5108" w:hanging="360"/>
      </w:pPr>
      <w:rPr>
        <w:rFonts w:ascii="Symbol" w:hAnsi="Symbol" w:hint="default"/>
      </w:rPr>
    </w:lvl>
    <w:lvl w:ilvl="7" w:tplc="04060003" w:tentative="1">
      <w:start w:val="1"/>
      <w:numFmt w:val="bullet"/>
      <w:lvlText w:val="o"/>
      <w:lvlJc w:val="left"/>
      <w:pPr>
        <w:ind w:left="5828" w:hanging="360"/>
      </w:pPr>
      <w:rPr>
        <w:rFonts w:ascii="Courier New" w:hAnsi="Courier New" w:cs="Courier New" w:hint="default"/>
      </w:rPr>
    </w:lvl>
    <w:lvl w:ilvl="8" w:tplc="04060005" w:tentative="1">
      <w:start w:val="1"/>
      <w:numFmt w:val="bullet"/>
      <w:lvlText w:val=""/>
      <w:lvlJc w:val="left"/>
      <w:pPr>
        <w:ind w:left="6548" w:hanging="360"/>
      </w:pPr>
      <w:rPr>
        <w:rFonts w:ascii="Wingdings" w:hAnsi="Wingdings" w:hint="default"/>
      </w:rPr>
    </w:lvl>
  </w:abstractNum>
  <w:abstractNum w:abstractNumId="2">
    <w:nsid w:val="68C35B96"/>
    <w:multiLevelType w:val="hybridMultilevel"/>
    <w:tmpl w:val="A5E60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40658F7"/>
    <w:multiLevelType w:val="hybridMultilevel"/>
    <w:tmpl w:val="B94E6B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7E13F1C"/>
    <w:multiLevelType w:val="hybridMultilevel"/>
    <w:tmpl w:val="749AB1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758"/>
    <w:rsid w:val="00035DBE"/>
    <w:rsid w:val="00054B6A"/>
    <w:rsid w:val="00056C33"/>
    <w:rsid w:val="00065617"/>
    <w:rsid w:val="00084EC0"/>
    <w:rsid w:val="000A4509"/>
    <w:rsid w:val="000A634A"/>
    <w:rsid w:val="000D2B18"/>
    <w:rsid w:val="000D7569"/>
    <w:rsid w:val="00107B2B"/>
    <w:rsid w:val="00126756"/>
    <w:rsid w:val="0014104B"/>
    <w:rsid w:val="001702AC"/>
    <w:rsid w:val="00181E07"/>
    <w:rsid w:val="00186045"/>
    <w:rsid w:val="001A0061"/>
    <w:rsid w:val="001C1061"/>
    <w:rsid w:val="001C3F86"/>
    <w:rsid w:val="001D6599"/>
    <w:rsid w:val="0020242D"/>
    <w:rsid w:val="00236752"/>
    <w:rsid w:val="002379BD"/>
    <w:rsid w:val="002411BE"/>
    <w:rsid w:val="0026353B"/>
    <w:rsid w:val="00276921"/>
    <w:rsid w:val="0028751C"/>
    <w:rsid w:val="00297767"/>
    <w:rsid w:val="002A14FC"/>
    <w:rsid w:val="002A3B2A"/>
    <w:rsid w:val="002A4FEC"/>
    <w:rsid w:val="002D2E88"/>
    <w:rsid w:val="002E5513"/>
    <w:rsid w:val="002F1860"/>
    <w:rsid w:val="002F31F1"/>
    <w:rsid w:val="0030279E"/>
    <w:rsid w:val="00303F7D"/>
    <w:rsid w:val="003109C2"/>
    <w:rsid w:val="00320D03"/>
    <w:rsid w:val="003229B7"/>
    <w:rsid w:val="003255B7"/>
    <w:rsid w:val="00347AC6"/>
    <w:rsid w:val="00354787"/>
    <w:rsid w:val="00361138"/>
    <w:rsid w:val="0038413F"/>
    <w:rsid w:val="003849B7"/>
    <w:rsid w:val="00393EC7"/>
    <w:rsid w:val="003A2943"/>
    <w:rsid w:val="003A31D3"/>
    <w:rsid w:val="003A59C9"/>
    <w:rsid w:val="003A65B1"/>
    <w:rsid w:val="003B2432"/>
    <w:rsid w:val="003E0E17"/>
    <w:rsid w:val="003F7794"/>
    <w:rsid w:val="00406B4B"/>
    <w:rsid w:val="0041489E"/>
    <w:rsid w:val="00416DFD"/>
    <w:rsid w:val="004305CA"/>
    <w:rsid w:val="004629E9"/>
    <w:rsid w:val="0047585E"/>
    <w:rsid w:val="004A4F50"/>
    <w:rsid w:val="004D5104"/>
    <w:rsid w:val="004F3618"/>
    <w:rsid w:val="0051358A"/>
    <w:rsid w:val="00537C0B"/>
    <w:rsid w:val="005846A2"/>
    <w:rsid w:val="005A0E16"/>
    <w:rsid w:val="005A280E"/>
    <w:rsid w:val="005B16E6"/>
    <w:rsid w:val="005C685D"/>
    <w:rsid w:val="005D10F8"/>
    <w:rsid w:val="005E2A35"/>
    <w:rsid w:val="005F0E55"/>
    <w:rsid w:val="00600A6C"/>
    <w:rsid w:val="006337A1"/>
    <w:rsid w:val="00652559"/>
    <w:rsid w:val="00674F28"/>
    <w:rsid w:val="006829F0"/>
    <w:rsid w:val="00694BA8"/>
    <w:rsid w:val="006A6E12"/>
    <w:rsid w:val="006B1C8A"/>
    <w:rsid w:val="006C2AB2"/>
    <w:rsid w:val="006C2B4F"/>
    <w:rsid w:val="006D6E5F"/>
    <w:rsid w:val="006F5250"/>
    <w:rsid w:val="00710DCB"/>
    <w:rsid w:val="007162FE"/>
    <w:rsid w:val="007173FC"/>
    <w:rsid w:val="00720C75"/>
    <w:rsid w:val="00725C52"/>
    <w:rsid w:val="00747728"/>
    <w:rsid w:val="00763CF4"/>
    <w:rsid w:val="00774B57"/>
    <w:rsid w:val="007824E5"/>
    <w:rsid w:val="007A1191"/>
    <w:rsid w:val="007A4964"/>
    <w:rsid w:val="007B75CF"/>
    <w:rsid w:val="007C4467"/>
    <w:rsid w:val="00851DCB"/>
    <w:rsid w:val="00875CAB"/>
    <w:rsid w:val="0088185E"/>
    <w:rsid w:val="009047C8"/>
    <w:rsid w:val="00913909"/>
    <w:rsid w:val="009415BA"/>
    <w:rsid w:val="0096090A"/>
    <w:rsid w:val="009812FB"/>
    <w:rsid w:val="009A4B08"/>
    <w:rsid w:val="009B2DCA"/>
    <w:rsid w:val="009C0214"/>
    <w:rsid w:val="009E7111"/>
    <w:rsid w:val="009E7CA6"/>
    <w:rsid w:val="00A17306"/>
    <w:rsid w:val="00A21805"/>
    <w:rsid w:val="00A22F6F"/>
    <w:rsid w:val="00A26E40"/>
    <w:rsid w:val="00A87E72"/>
    <w:rsid w:val="00A96ECD"/>
    <w:rsid w:val="00AE4C53"/>
    <w:rsid w:val="00AF4255"/>
    <w:rsid w:val="00B23157"/>
    <w:rsid w:val="00B23543"/>
    <w:rsid w:val="00B342F8"/>
    <w:rsid w:val="00B46B16"/>
    <w:rsid w:val="00BB3A40"/>
    <w:rsid w:val="00BE5758"/>
    <w:rsid w:val="00C305CE"/>
    <w:rsid w:val="00C54D8D"/>
    <w:rsid w:val="00C65F92"/>
    <w:rsid w:val="00C77F2D"/>
    <w:rsid w:val="00C879D0"/>
    <w:rsid w:val="00CC111C"/>
    <w:rsid w:val="00CE7209"/>
    <w:rsid w:val="00CF05FE"/>
    <w:rsid w:val="00CF116F"/>
    <w:rsid w:val="00D10EC5"/>
    <w:rsid w:val="00D17814"/>
    <w:rsid w:val="00D94FCA"/>
    <w:rsid w:val="00DA1F7C"/>
    <w:rsid w:val="00DC4139"/>
    <w:rsid w:val="00DF13FC"/>
    <w:rsid w:val="00DF3964"/>
    <w:rsid w:val="00DF4D13"/>
    <w:rsid w:val="00E32BC4"/>
    <w:rsid w:val="00E350EE"/>
    <w:rsid w:val="00E47C3C"/>
    <w:rsid w:val="00E520F4"/>
    <w:rsid w:val="00E80F29"/>
    <w:rsid w:val="00E852BE"/>
    <w:rsid w:val="00EA6D3F"/>
    <w:rsid w:val="00EB2154"/>
    <w:rsid w:val="00EB42D2"/>
    <w:rsid w:val="00EC0555"/>
    <w:rsid w:val="00EC1A47"/>
    <w:rsid w:val="00ED787A"/>
    <w:rsid w:val="00EE3C23"/>
    <w:rsid w:val="00F2357B"/>
    <w:rsid w:val="00F52B78"/>
    <w:rsid w:val="00F64D6B"/>
    <w:rsid w:val="00F64F2C"/>
    <w:rsid w:val="00F6610D"/>
    <w:rsid w:val="00F8729D"/>
    <w:rsid w:val="00F90439"/>
    <w:rsid w:val="00F96E50"/>
    <w:rsid w:val="00FC7684"/>
    <w:rsid w:val="00FD0FB2"/>
    <w:rsid w:val="00FD5AA5"/>
    <w:rsid w:val="00FD5E07"/>
    <w:rsid w:val="00FE4448"/>
    <w:rsid w:val="00FF4B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itle-article-norm2">
    <w:name w:val="title-article-norm2"/>
    <w:basedOn w:val="Normal"/>
    <w:rsid w:val="000A634A"/>
    <w:pPr>
      <w:spacing w:before="240" w:after="120" w:line="312" w:lineRule="atLeast"/>
      <w:jc w:val="center"/>
    </w:pPr>
    <w:rPr>
      <w:rFonts w:ascii="Times New Roman" w:eastAsia="Times New Roman" w:hAnsi="Times New Roman"/>
      <w:i/>
      <w:iCs/>
      <w:sz w:val="24"/>
      <w:szCs w:val="24"/>
      <w:lang w:eastAsia="da-DK"/>
    </w:rPr>
  </w:style>
  <w:style w:type="paragraph" w:customStyle="1" w:styleId="norm3">
    <w:name w:val="norm3"/>
    <w:basedOn w:val="Normal"/>
    <w:rsid w:val="000A634A"/>
    <w:pPr>
      <w:spacing w:before="120" w:after="0" w:line="312" w:lineRule="atLeast"/>
      <w:jc w:val="both"/>
    </w:pPr>
    <w:rPr>
      <w:rFonts w:ascii="Times New Roman" w:eastAsia="Times New Roman" w:hAnsi="Times New Roman"/>
      <w:sz w:val="24"/>
      <w:szCs w:val="24"/>
      <w:lang w:eastAsia="da-DK"/>
    </w:rPr>
  </w:style>
  <w:style w:type="character" w:styleId="Hyperlink">
    <w:name w:val="Hyperlink"/>
    <w:uiPriority w:val="99"/>
    <w:unhideWhenUsed/>
    <w:rsid w:val="000A634A"/>
    <w:rPr>
      <w:color w:val="0000FF"/>
      <w:u w:val="single"/>
    </w:rPr>
  </w:style>
  <w:style w:type="paragraph" w:styleId="Fodnotetekst">
    <w:name w:val="footnote text"/>
    <w:basedOn w:val="Normal"/>
    <w:link w:val="FodnotetekstTegn"/>
    <w:uiPriority w:val="99"/>
    <w:semiHidden/>
    <w:unhideWhenUsed/>
    <w:rsid w:val="000A634A"/>
    <w:rPr>
      <w:sz w:val="20"/>
      <w:szCs w:val="20"/>
    </w:rPr>
  </w:style>
  <w:style w:type="character" w:customStyle="1" w:styleId="FodnotetekstTegn">
    <w:name w:val="Fodnotetekst Tegn"/>
    <w:link w:val="Fodnotetekst"/>
    <w:uiPriority w:val="99"/>
    <w:semiHidden/>
    <w:rsid w:val="000A634A"/>
    <w:rPr>
      <w:lang w:eastAsia="en-US"/>
    </w:rPr>
  </w:style>
  <w:style w:type="character" w:styleId="Fodnotehenvisning">
    <w:name w:val="footnote reference"/>
    <w:uiPriority w:val="99"/>
    <w:semiHidden/>
    <w:unhideWhenUsed/>
    <w:rsid w:val="000A634A"/>
    <w:rPr>
      <w:vertAlign w:val="superscript"/>
    </w:rPr>
  </w:style>
  <w:style w:type="character" w:customStyle="1" w:styleId="superscript">
    <w:name w:val="superscript"/>
    <w:rsid w:val="005C685D"/>
    <w:rPr>
      <w:sz w:val="17"/>
      <w:szCs w:val="17"/>
      <w:vertAlign w:val="superscript"/>
    </w:rPr>
  </w:style>
  <w:style w:type="paragraph" w:styleId="Markeringsbobletekst">
    <w:name w:val="Balloon Text"/>
    <w:basedOn w:val="Normal"/>
    <w:link w:val="MarkeringsbobletekstTegn"/>
    <w:uiPriority w:val="99"/>
    <w:semiHidden/>
    <w:unhideWhenUsed/>
    <w:rsid w:val="009E7111"/>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9E7111"/>
    <w:rPr>
      <w:rFonts w:ascii="Tahoma" w:hAnsi="Tahoma" w:cs="Tahoma"/>
      <w:sz w:val="16"/>
      <w:szCs w:val="16"/>
      <w:lang w:eastAsia="en-US"/>
    </w:rPr>
  </w:style>
  <w:style w:type="paragraph" w:customStyle="1" w:styleId="Pa20">
    <w:name w:val="Pa20"/>
    <w:basedOn w:val="Normal"/>
    <w:next w:val="Normal"/>
    <w:uiPriority w:val="99"/>
    <w:rsid w:val="007B75CF"/>
    <w:pPr>
      <w:autoSpaceDE w:val="0"/>
      <w:autoSpaceDN w:val="0"/>
      <w:adjustRightInd w:val="0"/>
      <w:spacing w:after="0" w:line="201" w:lineRule="atLeast"/>
    </w:pPr>
    <w:rPr>
      <w:rFonts w:ascii="Frutiger LT Std 45 Light" w:hAnsi="Frutiger LT Std 45 Light"/>
      <w:sz w:val="24"/>
      <w:szCs w:val="24"/>
      <w:lang w:eastAsia="da-DK"/>
    </w:rPr>
  </w:style>
  <w:style w:type="paragraph" w:customStyle="1" w:styleId="Pa4">
    <w:name w:val="Pa4"/>
    <w:basedOn w:val="Normal"/>
    <w:next w:val="Normal"/>
    <w:uiPriority w:val="99"/>
    <w:rsid w:val="007B75CF"/>
    <w:pPr>
      <w:autoSpaceDE w:val="0"/>
      <w:autoSpaceDN w:val="0"/>
      <w:adjustRightInd w:val="0"/>
      <w:spacing w:after="0" w:line="191" w:lineRule="atLeast"/>
    </w:pPr>
    <w:rPr>
      <w:rFonts w:ascii="Frutiger LT Std 45 Light" w:hAnsi="Frutiger LT Std 45 Light"/>
      <w:sz w:val="24"/>
      <w:szCs w:val="24"/>
      <w:lang w:eastAsia="da-DK"/>
    </w:rPr>
  </w:style>
  <w:style w:type="character" w:styleId="Kommentarhenvisning">
    <w:name w:val="annotation reference"/>
    <w:uiPriority w:val="99"/>
    <w:semiHidden/>
    <w:unhideWhenUsed/>
    <w:rsid w:val="00C65F92"/>
    <w:rPr>
      <w:sz w:val="16"/>
      <w:szCs w:val="16"/>
    </w:rPr>
  </w:style>
  <w:style w:type="paragraph" w:styleId="Kommentartekst">
    <w:name w:val="annotation text"/>
    <w:basedOn w:val="Normal"/>
    <w:link w:val="KommentartekstTegn"/>
    <w:uiPriority w:val="99"/>
    <w:semiHidden/>
    <w:unhideWhenUsed/>
    <w:rsid w:val="00C65F92"/>
    <w:rPr>
      <w:sz w:val="20"/>
      <w:szCs w:val="20"/>
    </w:rPr>
  </w:style>
  <w:style w:type="character" w:customStyle="1" w:styleId="KommentartekstTegn">
    <w:name w:val="Kommentartekst Tegn"/>
    <w:link w:val="Kommentartekst"/>
    <w:uiPriority w:val="99"/>
    <w:semiHidden/>
    <w:rsid w:val="00C65F92"/>
    <w:rPr>
      <w:lang w:eastAsia="en-US"/>
    </w:rPr>
  </w:style>
  <w:style w:type="paragraph" w:styleId="Kommentaremne">
    <w:name w:val="annotation subject"/>
    <w:basedOn w:val="Kommentartekst"/>
    <w:next w:val="Kommentartekst"/>
    <w:link w:val="KommentaremneTegn"/>
    <w:uiPriority w:val="99"/>
    <w:semiHidden/>
    <w:unhideWhenUsed/>
    <w:rsid w:val="00C65F92"/>
    <w:rPr>
      <w:b/>
      <w:bCs/>
    </w:rPr>
  </w:style>
  <w:style w:type="character" w:customStyle="1" w:styleId="KommentaremneTegn">
    <w:name w:val="Kommentaremne Tegn"/>
    <w:link w:val="Kommentaremne"/>
    <w:uiPriority w:val="99"/>
    <w:semiHidden/>
    <w:rsid w:val="00C65F92"/>
    <w:rPr>
      <w:b/>
      <w:bCs/>
      <w:lang w:eastAsia="en-US"/>
    </w:rPr>
  </w:style>
  <w:style w:type="paragraph" w:styleId="Sidehoved">
    <w:name w:val="header"/>
    <w:basedOn w:val="Normal"/>
    <w:link w:val="SidehovedTegn"/>
    <w:uiPriority w:val="99"/>
    <w:unhideWhenUsed/>
    <w:rsid w:val="00A87E72"/>
    <w:pPr>
      <w:tabs>
        <w:tab w:val="center" w:pos="4819"/>
        <w:tab w:val="right" w:pos="9638"/>
      </w:tabs>
    </w:pPr>
  </w:style>
  <w:style w:type="character" w:customStyle="1" w:styleId="SidehovedTegn">
    <w:name w:val="Sidehoved Tegn"/>
    <w:link w:val="Sidehoved"/>
    <w:uiPriority w:val="99"/>
    <w:rsid w:val="00A87E72"/>
    <w:rPr>
      <w:sz w:val="22"/>
      <w:szCs w:val="22"/>
      <w:lang w:eastAsia="en-US"/>
    </w:rPr>
  </w:style>
  <w:style w:type="paragraph" w:styleId="Sidefod">
    <w:name w:val="footer"/>
    <w:basedOn w:val="Normal"/>
    <w:link w:val="SidefodTegn"/>
    <w:uiPriority w:val="99"/>
    <w:unhideWhenUsed/>
    <w:rsid w:val="00A87E72"/>
    <w:pPr>
      <w:tabs>
        <w:tab w:val="center" w:pos="4819"/>
        <w:tab w:val="right" w:pos="9638"/>
      </w:tabs>
    </w:pPr>
  </w:style>
  <w:style w:type="character" w:customStyle="1" w:styleId="SidefodTegn">
    <w:name w:val="Sidefod Tegn"/>
    <w:link w:val="Sidefod"/>
    <w:uiPriority w:val="99"/>
    <w:rsid w:val="00A87E72"/>
    <w:rPr>
      <w:sz w:val="22"/>
      <w:szCs w:val="22"/>
      <w:lang w:eastAsia="en-US"/>
    </w:rPr>
  </w:style>
  <w:style w:type="table" w:styleId="Tabel-Gitter">
    <w:name w:val="Table Grid"/>
    <w:basedOn w:val="Tabel-Normal"/>
    <w:uiPriority w:val="59"/>
    <w:rsid w:val="006B1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gtHyperlink">
    <w:name w:val="FollowedHyperlink"/>
    <w:basedOn w:val="Standardskrifttypeiafsnit"/>
    <w:uiPriority w:val="99"/>
    <w:semiHidden/>
    <w:unhideWhenUsed/>
    <w:rsid w:val="006F52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8416">
      <w:bodyDiv w:val="1"/>
      <w:marLeft w:val="0"/>
      <w:marRight w:val="0"/>
      <w:marTop w:val="0"/>
      <w:marBottom w:val="0"/>
      <w:divBdr>
        <w:top w:val="none" w:sz="0" w:space="0" w:color="auto"/>
        <w:left w:val="none" w:sz="0" w:space="0" w:color="auto"/>
        <w:bottom w:val="none" w:sz="0" w:space="0" w:color="auto"/>
        <w:right w:val="none" w:sz="0" w:space="0" w:color="auto"/>
      </w:divBdr>
    </w:div>
    <w:div w:id="1237932240">
      <w:bodyDiv w:val="1"/>
      <w:marLeft w:val="0"/>
      <w:marRight w:val="0"/>
      <w:marTop w:val="0"/>
      <w:marBottom w:val="0"/>
      <w:divBdr>
        <w:top w:val="none" w:sz="0" w:space="0" w:color="auto"/>
        <w:left w:val="none" w:sz="0" w:space="0" w:color="auto"/>
        <w:bottom w:val="none" w:sz="0" w:space="0" w:color="auto"/>
        <w:right w:val="none" w:sz="0" w:space="0" w:color="auto"/>
      </w:divBdr>
      <w:divsChild>
        <w:div w:id="1531721060">
          <w:marLeft w:val="0"/>
          <w:marRight w:val="0"/>
          <w:marTop w:val="0"/>
          <w:marBottom w:val="0"/>
          <w:divBdr>
            <w:top w:val="none" w:sz="0" w:space="0" w:color="auto"/>
            <w:left w:val="none" w:sz="0" w:space="0" w:color="auto"/>
            <w:bottom w:val="none" w:sz="0" w:space="0" w:color="auto"/>
            <w:right w:val="none" w:sz="0" w:space="0" w:color="auto"/>
          </w:divBdr>
          <w:divsChild>
            <w:div w:id="1639454584">
              <w:marLeft w:val="0"/>
              <w:marRight w:val="0"/>
              <w:marTop w:val="0"/>
              <w:marBottom w:val="0"/>
              <w:divBdr>
                <w:top w:val="none" w:sz="0" w:space="0" w:color="auto"/>
                <w:left w:val="none" w:sz="0" w:space="0" w:color="auto"/>
                <w:bottom w:val="none" w:sz="0" w:space="0" w:color="auto"/>
                <w:right w:val="none" w:sz="0" w:space="0" w:color="auto"/>
              </w:divBdr>
              <w:divsChild>
                <w:div w:id="364672094">
                  <w:marLeft w:val="0"/>
                  <w:marRight w:val="0"/>
                  <w:marTop w:val="0"/>
                  <w:marBottom w:val="0"/>
                  <w:divBdr>
                    <w:top w:val="none" w:sz="0" w:space="0" w:color="auto"/>
                    <w:left w:val="none" w:sz="0" w:space="0" w:color="auto"/>
                    <w:bottom w:val="none" w:sz="0" w:space="0" w:color="auto"/>
                    <w:right w:val="none" w:sz="0" w:space="0" w:color="auto"/>
                  </w:divBdr>
                  <w:divsChild>
                    <w:div w:id="1003896326">
                      <w:marLeft w:val="1"/>
                      <w:marRight w:val="1"/>
                      <w:marTop w:val="0"/>
                      <w:marBottom w:val="0"/>
                      <w:divBdr>
                        <w:top w:val="none" w:sz="0" w:space="0" w:color="auto"/>
                        <w:left w:val="none" w:sz="0" w:space="0" w:color="auto"/>
                        <w:bottom w:val="none" w:sz="0" w:space="0" w:color="auto"/>
                        <w:right w:val="none" w:sz="0" w:space="0" w:color="auto"/>
                      </w:divBdr>
                      <w:divsChild>
                        <w:div w:id="1475566420">
                          <w:marLeft w:val="0"/>
                          <w:marRight w:val="0"/>
                          <w:marTop w:val="0"/>
                          <w:marBottom w:val="0"/>
                          <w:divBdr>
                            <w:top w:val="none" w:sz="0" w:space="0" w:color="auto"/>
                            <w:left w:val="none" w:sz="0" w:space="0" w:color="auto"/>
                            <w:bottom w:val="none" w:sz="0" w:space="0" w:color="auto"/>
                            <w:right w:val="none" w:sz="0" w:space="0" w:color="auto"/>
                          </w:divBdr>
                          <w:divsChild>
                            <w:div w:id="316762005">
                              <w:marLeft w:val="0"/>
                              <w:marRight w:val="0"/>
                              <w:marTop w:val="0"/>
                              <w:marBottom w:val="360"/>
                              <w:divBdr>
                                <w:top w:val="none" w:sz="0" w:space="0" w:color="auto"/>
                                <w:left w:val="none" w:sz="0" w:space="0" w:color="auto"/>
                                <w:bottom w:val="none" w:sz="0" w:space="0" w:color="auto"/>
                                <w:right w:val="none" w:sz="0" w:space="0" w:color="auto"/>
                              </w:divBdr>
                              <w:divsChild>
                                <w:div w:id="119496851">
                                  <w:marLeft w:val="0"/>
                                  <w:marRight w:val="0"/>
                                  <w:marTop w:val="0"/>
                                  <w:marBottom w:val="0"/>
                                  <w:divBdr>
                                    <w:top w:val="none" w:sz="0" w:space="0" w:color="auto"/>
                                    <w:left w:val="none" w:sz="0" w:space="0" w:color="auto"/>
                                    <w:bottom w:val="none" w:sz="0" w:space="0" w:color="auto"/>
                                    <w:right w:val="none" w:sz="0" w:space="0" w:color="auto"/>
                                  </w:divBdr>
                                  <w:divsChild>
                                    <w:div w:id="1693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835611">
      <w:bodyDiv w:val="1"/>
      <w:marLeft w:val="0"/>
      <w:marRight w:val="0"/>
      <w:marTop w:val="0"/>
      <w:marBottom w:val="0"/>
      <w:divBdr>
        <w:top w:val="none" w:sz="0" w:space="0" w:color="auto"/>
        <w:left w:val="none" w:sz="0" w:space="0" w:color="auto"/>
        <w:bottom w:val="none" w:sz="0" w:space="0" w:color="auto"/>
        <w:right w:val="none" w:sz="0" w:space="0" w:color="auto"/>
      </w:divBdr>
    </w:div>
    <w:div w:id="1848052370">
      <w:bodyDiv w:val="1"/>
      <w:marLeft w:val="0"/>
      <w:marRight w:val="0"/>
      <w:marTop w:val="0"/>
      <w:marBottom w:val="0"/>
      <w:divBdr>
        <w:top w:val="none" w:sz="0" w:space="0" w:color="auto"/>
        <w:left w:val="none" w:sz="0" w:space="0" w:color="auto"/>
        <w:bottom w:val="none" w:sz="0" w:space="0" w:color="auto"/>
        <w:right w:val="none" w:sz="0" w:space="0" w:color="auto"/>
      </w:divBdr>
      <w:divsChild>
        <w:div w:id="2088728424">
          <w:marLeft w:val="0"/>
          <w:marRight w:val="0"/>
          <w:marTop w:val="0"/>
          <w:marBottom w:val="0"/>
          <w:divBdr>
            <w:top w:val="none" w:sz="0" w:space="0" w:color="auto"/>
            <w:left w:val="none" w:sz="0" w:space="0" w:color="auto"/>
            <w:bottom w:val="none" w:sz="0" w:space="0" w:color="auto"/>
            <w:right w:val="none" w:sz="0" w:space="0" w:color="auto"/>
          </w:divBdr>
          <w:divsChild>
            <w:div w:id="24452375">
              <w:marLeft w:val="0"/>
              <w:marRight w:val="0"/>
              <w:marTop w:val="0"/>
              <w:marBottom w:val="0"/>
              <w:divBdr>
                <w:top w:val="none" w:sz="0" w:space="0" w:color="auto"/>
                <w:left w:val="none" w:sz="0" w:space="0" w:color="auto"/>
                <w:bottom w:val="none" w:sz="0" w:space="0" w:color="auto"/>
                <w:right w:val="none" w:sz="0" w:space="0" w:color="auto"/>
              </w:divBdr>
              <w:divsChild>
                <w:div w:id="1779253156">
                  <w:marLeft w:val="0"/>
                  <w:marRight w:val="0"/>
                  <w:marTop w:val="0"/>
                  <w:marBottom w:val="0"/>
                  <w:divBdr>
                    <w:top w:val="none" w:sz="0" w:space="0" w:color="auto"/>
                    <w:left w:val="none" w:sz="0" w:space="0" w:color="auto"/>
                    <w:bottom w:val="none" w:sz="0" w:space="0" w:color="auto"/>
                    <w:right w:val="none" w:sz="0" w:space="0" w:color="auto"/>
                  </w:divBdr>
                  <w:divsChild>
                    <w:div w:id="158235479">
                      <w:marLeft w:val="1"/>
                      <w:marRight w:val="1"/>
                      <w:marTop w:val="0"/>
                      <w:marBottom w:val="0"/>
                      <w:divBdr>
                        <w:top w:val="none" w:sz="0" w:space="0" w:color="auto"/>
                        <w:left w:val="none" w:sz="0" w:space="0" w:color="auto"/>
                        <w:bottom w:val="none" w:sz="0" w:space="0" w:color="auto"/>
                        <w:right w:val="none" w:sz="0" w:space="0" w:color="auto"/>
                      </w:divBdr>
                      <w:divsChild>
                        <w:div w:id="1677073750">
                          <w:marLeft w:val="0"/>
                          <w:marRight w:val="0"/>
                          <w:marTop w:val="0"/>
                          <w:marBottom w:val="0"/>
                          <w:divBdr>
                            <w:top w:val="none" w:sz="0" w:space="0" w:color="auto"/>
                            <w:left w:val="none" w:sz="0" w:space="0" w:color="auto"/>
                            <w:bottom w:val="none" w:sz="0" w:space="0" w:color="auto"/>
                            <w:right w:val="none" w:sz="0" w:space="0" w:color="auto"/>
                          </w:divBdr>
                          <w:divsChild>
                            <w:div w:id="1082869791">
                              <w:marLeft w:val="0"/>
                              <w:marRight w:val="0"/>
                              <w:marTop w:val="0"/>
                              <w:marBottom w:val="360"/>
                              <w:divBdr>
                                <w:top w:val="none" w:sz="0" w:space="0" w:color="auto"/>
                                <w:left w:val="none" w:sz="0" w:space="0" w:color="auto"/>
                                <w:bottom w:val="none" w:sz="0" w:space="0" w:color="auto"/>
                                <w:right w:val="none" w:sz="0" w:space="0" w:color="auto"/>
                              </w:divBdr>
                              <w:divsChild>
                                <w:div w:id="785007148">
                                  <w:marLeft w:val="0"/>
                                  <w:marRight w:val="0"/>
                                  <w:marTop w:val="0"/>
                                  <w:marBottom w:val="0"/>
                                  <w:divBdr>
                                    <w:top w:val="none" w:sz="0" w:space="0" w:color="auto"/>
                                    <w:left w:val="none" w:sz="0" w:space="0" w:color="auto"/>
                                    <w:bottom w:val="none" w:sz="0" w:space="0" w:color="auto"/>
                                    <w:right w:val="none" w:sz="0" w:space="0" w:color="auto"/>
                                  </w:divBdr>
                                  <w:divsChild>
                                    <w:div w:id="70129066">
                                      <w:marLeft w:val="0"/>
                                      <w:marRight w:val="0"/>
                                      <w:marTop w:val="0"/>
                                      <w:marBottom w:val="0"/>
                                      <w:divBdr>
                                        <w:top w:val="none" w:sz="0" w:space="0" w:color="auto"/>
                                        <w:left w:val="none" w:sz="0" w:space="0" w:color="auto"/>
                                        <w:bottom w:val="none" w:sz="0" w:space="0" w:color="auto"/>
                                        <w:right w:val="none" w:sz="0" w:space="0" w:color="auto"/>
                                      </w:divBdr>
                                      <w:divsChild>
                                        <w:div w:id="1654529410">
                                          <w:marLeft w:val="240"/>
                                          <w:marRight w:val="0"/>
                                          <w:marTop w:val="0"/>
                                          <w:marBottom w:val="0"/>
                                          <w:divBdr>
                                            <w:top w:val="none" w:sz="0" w:space="0" w:color="auto"/>
                                            <w:left w:val="none" w:sz="0" w:space="0" w:color="auto"/>
                                            <w:bottom w:val="none" w:sz="0" w:space="0" w:color="auto"/>
                                            <w:right w:val="none" w:sz="0" w:space="0" w:color="auto"/>
                                          </w:divBdr>
                                        </w:div>
                                        <w:div w:id="1822498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B2FF2-EBDA-4DEE-A568-1FBCDD6D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1937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NaturErhvervstyrelsen</Company>
  <LinksUpToDate>false</LinksUpToDate>
  <CharactersWithSpaces>2250</CharactersWithSpaces>
  <SharedDoc>false</SharedDoc>
  <HLinks>
    <vt:vector size="60" baseType="variant">
      <vt:variant>
        <vt:i4>589898</vt:i4>
      </vt:variant>
      <vt:variant>
        <vt:i4>0</vt:i4>
      </vt:variant>
      <vt:variant>
        <vt:i4>0</vt:i4>
      </vt:variant>
      <vt:variant>
        <vt:i4>5</vt:i4>
      </vt:variant>
      <vt:variant>
        <vt:lpwstr>http://eur-lex.europa.eu/legal-content/DA/TXT/?uri=CELEX:01966L0402-20121130</vt:lpwstr>
      </vt:variant>
      <vt:variant>
        <vt:lpwstr>E0003</vt:lpwstr>
      </vt:variant>
      <vt:variant>
        <vt:i4>4456478</vt:i4>
      </vt:variant>
      <vt:variant>
        <vt:i4>24</vt:i4>
      </vt:variant>
      <vt:variant>
        <vt:i4>0</vt:i4>
      </vt:variant>
      <vt:variant>
        <vt:i4>5</vt:i4>
      </vt:variant>
      <vt:variant>
        <vt:lpwstr>http://www.escaa.org/</vt:lpwstr>
      </vt:variant>
      <vt:variant>
        <vt:lpwstr/>
      </vt:variant>
      <vt:variant>
        <vt:i4>8126518</vt:i4>
      </vt:variant>
      <vt:variant>
        <vt:i4>21</vt:i4>
      </vt:variant>
      <vt:variant>
        <vt:i4>0</vt:i4>
      </vt:variant>
      <vt:variant>
        <vt:i4>5</vt:i4>
      </vt:variant>
      <vt:variant>
        <vt:lpwstr>http://fvm.dk/landbrug/indsatsomraader/oekologi/oekologiplan-danmark-2015/</vt:lpwstr>
      </vt:variant>
      <vt:variant>
        <vt:lpwstr/>
      </vt:variant>
      <vt:variant>
        <vt:i4>8257573</vt:i4>
      </vt:variant>
      <vt:variant>
        <vt:i4>18</vt:i4>
      </vt:variant>
      <vt:variant>
        <vt:i4>0</vt:i4>
      </vt:variant>
      <vt:variant>
        <vt:i4>5</vt:i4>
      </vt:variant>
      <vt:variant>
        <vt:lpwstr>http://naturerhverv.dk/virksomheder/froe-og-korn/lovgrundlag/love-og-bekendtgoerelser-om-froe-og-korn/</vt:lpwstr>
      </vt:variant>
      <vt:variant>
        <vt:lpwstr/>
      </vt:variant>
      <vt:variant>
        <vt:i4>3801121</vt:i4>
      </vt:variant>
      <vt:variant>
        <vt:i4>15</vt:i4>
      </vt:variant>
      <vt:variant>
        <vt:i4>0</vt:i4>
      </vt:variant>
      <vt:variant>
        <vt:i4>5</vt:i4>
      </vt:variant>
      <vt:variant>
        <vt:lpwstr>http://naturerhverv.dk/virksomheder/froe-og-korn/lovgrundlag/sortslisteoptagelse-og-plantenyhedsbeskyttelse/</vt:lpwstr>
      </vt:variant>
      <vt:variant>
        <vt:lpwstr>c11347</vt:lpwstr>
      </vt:variant>
      <vt:variant>
        <vt:i4>3080225</vt:i4>
      </vt:variant>
      <vt:variant>
        <vt:i4>12</vt:i4>
      </vt:variant>
      <vt:variant>
        <vt:i4>0</vt:i4>
      </vt:variant>
      <vt:variant>
        <vt:i4>5</vt:i4>
      </vt:variant>
      <vt:variant>
        <vt:lpwstr>http://ec.europa.eu/food/plant/plant_propagation_material/legislation/conservation_varietes/index_en.htm</vt:lpwstr>
      </vt:variant>
      <vt:variant>
        <vt:lpwstr/>
      </vt:variant>
      <vt:variant>
        <vt:i4>5898340</vt:i4>
      </vt:variant>
      <vt:variant>
        <vt:i4>9</vt:i4>
      </vt:variant>
      <vt:variant>
        <vt:i4>0</vt:i4>
      </vt:variant>
      <vt:variant>
        <vt:i4>5</vt:i4>
      </vt:variant>
      <vt:variant>
        <vt:lpwstr>http://www2.jordbruksverket.se/webdav/files/SJV/trycksaker/Pdf_ovrigt/ovr230.pdf</vt:lpwstr>
      </vt:variant>
      <vt:variant>
        <vt:lpwstr/>
      </vt:variant>
      <vt:variant>
        <vt:i4>8257573</vt:i4>
      </vt:variant>
      <vt:variant>
        <vt:i4>6</vt:i4>
      </vt:variant>
      <vt:variant>
        <vt:i4>0</vt:i4>
      </vt:variant>
      <vt:variant>
        <vt:i4>5</vt:i4>
      </vt:variant>
      <vt:variant>
        <vt:lpwstr>http://naturerhverv.dk/virksomheder/froe-og-korn/lovgrundlag/love-og-bekendtgoerelser-om-froe-og-korn/</vt:lpwstr>
      </vt:variant>
      <vt:variant>
        <vt:lpwstr/>
      </vt:variant>
      <vt:variant>
        <vt:i4>3801121</vt:i4>
      </vt:variant>
      <vt:variant>
        <vt:i4>3</vt:i4>
      </vt:variant>
      <vt:variant>
        <vt:i4>0</vt:i4>
      </vt:variant>
      <vt:variant>
        <vt:i4>5</vt:i4>
      </vt:variant>
      <vt:variant>
        <vt:lpwstr>http://naturerhverv.dk/virksomheder/froe-og-korn/lovgrundlag/sortslisteoptagelse-og-plantenyhedsbeskyttelse/</vt:lpwstr>
      </vt:variant>
      <vt:variant>
        <vt:lpwstr>c11347</vt:lpwstr>
      </vt:variant>
      <vt:variant>
        <vt:i4>3080225</vt:i4>
      </vt:variant>
      <vt:variant>
        <vt:i4>0</vt:i4>
      </vt:variant>
      <vt:variant>
        <vt:i4>0</vt:i4>
      </vt:variant>
      <vt:variant>
        <vt:i4>5</vt:i4>
      </vt:variant>
      <vt:variant>
        <vt:lpwstr>http://ec.europa.eu/food/plant/plant_propagation_material/legislation/conservation_varietes/index_en.htm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MADA</cp:lastModifiedBy>
  <cp:revision>2</cp:revision>
  <cp:lastPrinted>2015-04-15T11:17:00Z</cp:lastPrinted>
  <dcterms:created xsi:type="dcterms:W3CDTF">2015-05-05T10:49:00Z</dcterms:created>
  <dcterms:modified xsi:type="dcterms:W3CDTF">2015-05-05T10:49:00Z</dcterms:modified>
</cp:coreProperties>
</file>