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29" w:rsidRPr="00D53235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r w:rsidRPr="00D53235">
        <w:rPr>
          <w:rFonts w:ascii="Georgia" w:hAnsi="Georgia"/>
          <w:b/>
          <w:sz w:val="32"/>
          <w:szCs w:val="32"/>
        </w:rPr>
        <w:t>Deklaration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r w:rsidRPr="00D53235">
        <w:rPr>
          <w:rFonts w:ascii="Georgia" w:hAnsi="Georgia"/>
          <w:b/>
          <w:sz w:val="32"/>
          <w:szCs w:val="32"/>
        </w:rPr>
        <w:t>om</w:t>
      </w:r>
    </w:p>
    <w:p w:rsidR="004F3529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r w:rsidRPr="00D53235">
        <w:rPr>
          <w:rFonts w:ascii="Georgia" w:hAnsi="Georgia"/>
          <w:b/>
          <w:sz w:val="32"/>
          <w:szCs w:val="32"/>
        </w:rPr>
        <w:t>afhændelse, landbrugspligt og natur</w:t>
      </w:r>
      <w:r w:rsidR="008C42E7">
        <w:rPr>
          <w:rFonts w:ascii="Georgia" w:hAnsi="Georgia"/>
          <w:b/>
          <w:sz w:val="32"/>
          <w:szCs w:val="32"/>
        </w:rPr>
        <w:t>formål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</w:p>
    <w:p w:rsidR="00774B26" w:rsidRP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>(slettes inden tinglysningen) OBS: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 xml:space="preserve">Kan kun anvendes ved </w:t>
      </w:r>
      <w:r>
        <w:rPr>
          <w:rFonts w:ascii="Georgia" w:hAnsi="Georgia"/>
          <w:szCs w:val="32"/>
          <w:highlight w:val="yellow"/>
        </w:rPr>
        <w:t xml:space="preserve">oprettelse af landbrugsejendom uden beboelse 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>der skal anvendes til</w:t>
      </w:r>
      <w:r>
        <w:rPr>
          <w:rFonts w:ascii="Georgia" w:hAnsi="Georgia"/>
          <w:szCs w:val="32"/>
          <w:highlight w:val="yellow"/>
        </w:rPr>
        <w:t xml:space="preserve"> </w:t>
      </w:r>
      <w:r w:rsidRPr="00774B26">
        <w:rPr>
          <w:rFonts w:ascii="Georgia" w:hAnsi="Georgia"/>
          <w:szCs w:val="32"/>
          <w:highlight w:val="yellow"/>
        </w:rPr>
        <w:t>naturformål af almen samfundsmæssig karakter</w:t>
      </w:r>
      <w:r>
        <w:rPr>
          <w:rFonts w:ascii="Georgia" w:hAnsi="Georgia"/>
          <w:szCs w:val="32"/>
          <w:highlight w:val="yellow"/>
        </w:rPr>
        <w:t>, hvor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 xml:space="preserve"> en </w:t>
      </w:r>
      <w:r w:rsidR="00D43BBB" w:rsidRPr="00D43BBB">
        <w:rPr>
          <w:rFonts w:ascii="Georgia" w:hAnsi="Georgia"/>
          <w:b/>
          <w:szCs w:val="32"/>
          <w:highlight w:val="yellow"/>
        </w:rPr>
        <w:t>forhånds</w:t>
      </w:r>
      <w:r w:rsidRPr="008C42E7">
        <w:rPr>
          <w:rFonts w:ascii="Georgia" w:hAnsi="Georgia"/>
          <w:b/>
          <w:szCs w:val="32"/>
          <w:highlight w:val="yellow"/>
        </w:rPr>
        <w:t>godkendt</w:t>
      </w:r>
      <w:r w:rsidRPr="00774B26">
        <w:rPr>
          <w:rFonts w:ascii="Georgia" w:hAnsi="Georgia"/>
          <w:szCs w:val="32"/>
          <w:highlight w:val="yellow"/>
        </w:rPr>
        <w:t xml:space="preserve"> fond, forening eller anden juridisk person</w:t>
      </w:r>
      <w:r>
        <w:rPr>
          <w:rFonts w:ascii="Georgia" w:hAnsi="Georgia"/>
          <w:szCs w:val="32"/>
          <w:highlight w:val="yellow"/>
        </w:rPr>
        <w:t xml:space="preserve"> </w:t>
      </w:r>
    </w:p>
    <w:p w:rsidR="00774B26" w:rsidRPr="00774B26" w:rsidRDefault="00774B26" w:rsidP="00774B26">
      <w:pPr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  <w:highlight w:val="yellow"/>
        </w:rPr>
        <w:t>har modtaget bekræftelse fra styrelsen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  <w:bookmarkStart w:id="0" w:name="_GoBack"/>
      <w:bookmarkEnd w:id="0"/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Undertegnede forhåndsgodkendte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color w:val="000000"/>
          <w:sz w:val="22"/>
          <w:szCs w:val="22"/>
        </w:rPr>
        <w:t xml:space="preserve">, </w:t>
      </w:r>
      <w:r w:rsidRPr="00D53235">
        <w:rPr>
          <w:rFonts w:ascii="Georgia" w:hAnsi="Georgia"/>
          <w:sz w:val="22"/>
          <w:szCs w:val="22"/>
        </w:rPr>
        <w:t xml:space="preserve">erklærer som adkomsthaver med virkning for </w:t>
      </w:r>
      <w:r w:rsidR="00E50B79" w:rsidRPr="00D53235">
        <w:rPr>
          <w:rFonts w:ascii="Georgia" w:hAnsi="Georgia"/>
          <w:sz w:val="22"/>
          <w:szCs w:val="22"/>
        </w:rPr>
        <w:t>os</w:t>
      </w:r>
      <w:r w:rsidRPr="00D53235">
        <w:rPr>
          <w:rFonts w:ascii="Georgia" w:hAnsi="Georgia"/>
          <w:sz w:val="22"/>
          <w:szCs w:val="22"/>
        </w:rPr>
        <w:t xml:space="preserve"> selv og efterfølgende ejere at ville overholde følgende forpligtelser. 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Overholdelse af forpligtelserne er en forudsætning for udstykning og oprettelsen af en landbrugsejendom uden beboelse, der agtes anvendt til naturformål af almen samfundsmæssig karakter, jf. § 24, stk. 5 og § 9, stk. 1, og § 10, stk. 4 i lov om landbrugsejendomme (lovbekendtgørelse nr. 116 af 6. februar 2020):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1.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Der må ikke uden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s tilladelse opføres nye bygninger på landbrugsejendommen. Opførelse af nye bygninger kræver desuden tilladelse efter lov om planlægning for så vidt angår beliggenheden og udformningen af nye bygninger.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2.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Erhververen forpligter sig til: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At anvende det erhvervede areal i overensstemmelse med den offentlige planlægning m.v., som gælder for det pågældende område, jf. § 1</w:t>
      </w:r>
      <w:r w:rsidR="00C11FD1" w:rsidRPr="00D53235">
        <w:rPr>
          <w:rFonts w:ascii="Georgia" w:hAnsi="Georgia"/>
          <w:sz w:val="22"/>
          <w:szCs w:val="22"/>
        </w:rPr>
        <w:t>8, stk. 1</w:t>
      </w:r>
      <w:r w:rsidRPr="00D53235">
        <w:rPr>
          <w:rFonts w:ascii="Georgia" w:hAnsi="Georgia"/>
          <w:sz w:val="22"/>
          <w:szCs w:val="22"/>
        </w:rPr>
        <w:t xml:space="preserve"> i bekendtgørelse nr. </w:t>
      </w:r>
      <w:r w:rsidR="00C11FD1" w:rsidRPr="00D53235">
        <w:rPr>
          <w:rFonts w:ascii="Georgia" w:hAnsi="Georgia"/>
          <w:sz w:val="22"/>
          <w:szCs w:val="22"/>
        </w:rPr>
        <w:t>5</w:t>
      </w:r>
      <w:r w:rsidR="00EC2E88" w:rsidRPr="00D53235">
        <w:rPr>
          <w:rFonts w:ascii="Georgia" w:hAnsi="Georgia"/>
          <w:sz w:val="22"/>
          <w:szCs w:val="22"/>
        </w:rPr>
        <w:t>61</w:t>
      </w:r>
      <w:r w:rsidRPr="00D53235">
        <w:rPr>
          <w:rFonts w:ascii="Georgia" w:hAnsi="Georgia"/>
          <w:sz w:val="22"/>
          <w:szCs w:val="22"/>
        </w:rPr>
        <w:t xml:space="preserve"> af </w:t>
      </w:r>
      <w:r w:rsidR="00EC2E88" w:rsidRPr="00D53235">
        <w:rPr>
          <w:rFonts w:ascii="Georgia" w:hAnsi="Georgia"/>
          <w:sz w:val="22"/>
          <w:szCs w:val="22"/>
        </w:rPr>
        <w:t>06</w:t>
      </w:r>
      <w:r w:rsidRPr="00D53235">
        <w:rPr>
          <w:rFonts w:ascii="Georgia" w:hAnsi="Georgia"/>
          <w:sz w:val="22"/>
          <w:szCs w:val="22"/>
        </w:rPr>
        <w:t xml:space="preserve">. </w:t>
      </w:r>
      <w:r w:rsidR="00EC2E88" w:rsidRPr="00D53235">
        <w:rPr>
          <w:rFonts w:ascii="Georgia" w:hAnsi="Georgia"/>
          <w:sz w:val="22"/>
          <w:szCs w:val="22"/>
        </w:rPr>
        <w:t>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landbrugsejendomme, 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sikre offentligheden adgang til det erhvervede areal, som anført i § 24, stk. 1, nr. 3, litra b i lov om landbrugsejendomme og § </w:t>
      </w:r>
      <w:r w:rsidR="00EC2E88" w:rsidRPr="00D53235">
        <w:rPr>
          <w:rFonts w:ascii="Georgia" w:hAnsi="Georgia"/>
          <w:sz w:val="22"/>
          <w:szCs w:val="22"/>
        </w:rPr>
        <w:t>18</w:t>
      </w:r>
      <w:r w:rsidRPr="00D53235">
        <w:rPr>
          <w:rFonts w:ascii="Georgia" w:hAnsi="Georgia"/>
          <w:sz w:val="22"/>
          <w:szCs w:val="22"/>
        </w:rPr>
        <w:t xml:space="preserve">, stk. 2 i bekendtgørelse nr. </w:t>
      </w:r>
      <w:r w:rsidR="00EC2E88" w:rsidRPr="00D53235">
        <w:rPr>
          <w:rFonts w:ascii="Georgia" w:hAnsi="Georgia"/>
          <w:sz w:val="22"/>
          <w:szCs w:val="22"/>
        </w:rPr>
        <w:t>561 af 06. 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landbrugsejendomme.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lave en plan, udarbejdet sammen med kommunen, for ejendommens anvendelse til naturformål og for offentlighedens adgang til arealerne jf. § </w:t>
      </w:r>
      <w:r w:rsidR="00EC2E88" w:rsidRPr="00D53235">
        <w:rPr>
          <w:rFonts w:ascii="Georgia" w:hAnsi="Georgia"/>
          <w:sz w:val="22"/>
          <w:szCs w:val="22"/>
        </w:rPr>
        <w:t>18</w:t>
      </w:r>
      <w:r w:rsidRPr="00D53235">
        <w:rPr>
          <w:rFonts w:ascii="Georgia" w:hAnsi="Georgia"/>
          <w:sz w:val="22"/>
          <w:szCs w:val="22"/>
        </w:rPr>
        <w:t xml:space="preserve">, stk. 3, nr. </w:t>
      </w:r>
      <w:r w:rsidR="00EC2E88" w:rsidRPr="00D53235">
        <w:rPr>
          <w:rFonts w:ascii="Georgia" w:hAnsi="Georgia"/>
          <w:sz w:val="22"/>
          <w:szCs w:val="22"/>
        </w:rPr>
        <w:t>2</w:t>
      </w:r>
      <w:r w:rsidRPr="00D53235">
        <w:rPr>
          <w:rFonts w:ascii="Georgia" w:hAnsi="Georgia"/>
          <w:sz w:val="22"/>
          <w:szCs w:val="22"/>
        </w:rPr>
        <w:t xml:space="preserve"> i bekendtgørelse nr. </w:t>
      </w:r>
      <w:r w:rsidR="00EC2E88" w:rsidRPr="00D53235">
        <w:rPr>
          <w:rFonts w:ascii="Georgia" w:hAnsi="Georgia"/>
          <w:sz w:val="22"/>
          <w:szCs w:val="22"/>
        </w:rPr>
        <w:t>561 af 06. 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landbrugsejendomme, og 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sende planen inden 1 år efter erhvervelsen til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, som dokumentation for, at reglerne om offentlighedens adgang m.v. er iagttaget.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3.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Arealet skal afhændes til sammenlægning med en landbrugsejendom i overensstemmelse med reglerne i lov om landbrugsejendomme inden 6 måneder fra det tidspunkt, hvor arealet ikke længere anvendes i overensstemmelse med retningslinjerne i pkt.</w:t>
      </w:r>
      <w:r w:rsidR="00EC2E88" w:rsidRPr="00D53235">
        <w:rPr>
          <w:rFonts w:ascii="Georgia" w:hAnsi="Georgia"/>
          <w:sz w:val="22"/>
          <w:szCs w:val="22"/>
        </w:rPr>
        <w:t xml:space="preserve"> 2</w:t>
      </w:r>
      <w:r w:rsidRPr="00D53235">
        <w:rPr>
          <w:rFonts w:ascii="Georgia" w:hAnsi="Georgia"/>
          <w:sz w:val="22"/>
          <w:szCs w:val="22"/>
        </w:rPr>
        <w:t>, litra a, b, c og d ovenfor.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4.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Landbrugsejendommen kan kun afhændes til sammenlægning med en anden landbrugsejendom eller som en landbrugsejendom uden beboelsesbygning efter reglerne i lov om landbrugsejendomme. Hel eller delvis afhændelse af arealet kræver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 xml:space="preserve"> samtykke</w:t>
      </w:r>
      <w:r w:rsidR="00C452D5" w:rsidRPr="00D53235">
        <w:rPr>
          <w:rFonts w:ascii="Georgia" w:hAnsi="Georgia"/>
          <w:sz w:val="22"/>
          <w:szCs w:val="22"/>
        </w:rPr>
        <w:t>.</w:t>
      </w:r>
    </w:p>
    <w:p w:rsidR="00C452D5" w:rsidRPr="00D53235" w:rsidRDefault="00C452D5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C452D5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Arealoverførsel kræver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s samtykke, og deklarationen opretholdes som gældende for hele ejendommen efter arealoverførslen.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5.</w:t>
      </w:r>
    </w:p>
    <w:p w:rsidR="004F3529" w:rsidRPr="00D53235" w:rsidRDefault="004F3529" w:rsidP="004F3529">
      <w:pPr>
        <w:tabs>
          <w:tab w:val="left" w:pos="6499"/>
        </w:tabs>
        <w:spacing w:line="240" w:lineRule="atLeast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Der skal ske manuel bekæmpelse af invasive arter på naturarealerne.</w:t>
      </w:r>
      <w:r w:rsidRPr="00D53235">
        <w:rPr>
          <w:rFonts w:ascii="Georgia" w:hAnsi="Georgia"/>
          <w:sz w:val="22"/>
          <w:szCs w:val="22"/>
        </w:rPr>
        <w:tab/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6.</w:t>
      </w:r>
    </w:p>
    <w:p w:rsidR="004F3529" w:rsidRPr="00D53235" w:rsidRDefault="004F3529" w:rsidP="004F3529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Deklarationen begæres tinglyst som byrde på </w:t>
      </w:r>
      <w:r w:rsidR="004B2826" w:rsidRPr="00D53235">
        <w:rPr>
          <w:rFonts w:ascii="Georgia" w:hAnsi="Georgia"/>
          <w:sz w:val="22"/>
          <w:szCs w:val="22"/>
        </w:rPr>
        <w:t xml:space="preserve">matr.nr.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sz w:val="22"/>
          <w:szCs w:val="22"/>
        </w:rPr>
        <w:t xml:space="preserve">, areal ca.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sz w:val="22"/>
          <w:szCs w:val="22"/>
        </w:rPr>
        <w:t xml:space="preserve"> ha</w:t>
      </w:r>
      <w:r w:rsidRPr="00D53235">
        <w:rPr>
          <w:rFonts w:ascii="Georgia" w:hAnsi="Georgia"/>
          <w:color w:val="000000"/>
          <w:sz w:val="22"/>
          <w:szCs w:val="22"/>
        </w:rPr>
        <w:t xml:space="preserve"> </w:t>
      </w:r>
      <w:r w:rsidRPr="00D53235">
        <w:rPr>
          <w:rFonts w:ascii="Georgia" w:hAnsi="Georgia"/>
          <w:sz w:val="22"/>
          <w:szCs w:val="22"/>
        </w:rPr>
        <w:t xml:space="preserve">med prioritet forud for al pantegæld og servitutter, jf. § </w:t>
      </w:r>
      <w:r w:rsidR="003629FB" w:rsidRPr="00D53235">
        <w:rPr>
          <w:rFonts w:ascii="Georgia" w:hAnsi="Georgia"/>
          <w:sz w:val="22"/>
          <w:szCs w:val="22"/>
        </w:rPr>
        <w:t>39, stk. 3</w:t>
      </w:r>
      <w:r w:rsidRPr="00D53235">
        <w:rPr>
          <w:rFonts w:ascii="Georgia" w:hAnsi="Georgia"/>
          <w:sz w:val="22"/>
          <w:szCs w:val="22"/>
        </w:rPr>
        <w:t xml:space="preserve">, i lov om landbrugsejendomme, hvorefter </w:t>
      </w:r>
      <w:r w:rsidRPr="00D53235">
        <w:rPr>
          <w:rFonts w:ascii="Georgia" w:hAnsi="Georgia"/>
          <w:sz w:val="22"/>
          <w:szCs w:val="22"/>
        </w:rPr>
        <w:lastRenderedPageBreak/>
        <w:t xml:space="preserve">betingelserne er bindende for indehavere af rettigheder i ejendommen uanset tidspunktet for rettens stiftelse. 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7.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Påtaleberettiget 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.</w:t>
      </w:r>
    </w:p>
    <w:p w:rsidR="004F3529" w:rsidRPr="005505F2" w:rsidRDefault="004F3529" w:rsidP="004F3529">
      <w:pPr>
        <w:rPr>
          <w:rFonts w:ascii="Verdana" w:hAnsi="Verdana"/>
          <w:sz w:val="20"/>
        </w:rPr>
      </w:pPr>
    </w:p>
    <w:p w:rsidR="004F3529" w:rsidRDefault="004F3529" w:rsidP="004F3529">
      <w:pPr>
        <w:pStyle w:val="Slutnotetekst"/>
      </w:pPr>
    </w:p>
    <w:sectPr w:rsidR="004F3529" w:rsidSect="009C7917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AA" w:rsidRDefault="00433FAA">
      <w:r>
        <w:separator/>
      </w:r>
    </w:p>
  </w:endnote>
  <w:endnote w:type="continuationSeparator" w:id="0">
    <w:p w:rsidR="00433FAA" w:rsidRDefault="004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86DD2" w:rsidRDefault="00386DD2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81" w:rsidRDefault="008C42E7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8C423E">
      <w:rPr>
        <w:rStyle w:val="Sidetal"/>
        <w:sz w:val="14"/>
        <w:szCs w:val="14"/>
      </w:rPr>
      <w:t>s standarddeklaration</w:t>
    </w:r>
  </w:p>
  <w:p w:rsidR="00213E81" w:rsidRPr="00A131F9" w:rsidRDefault="00213E81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Købers oprettelse af en landbrugsejendom uden beboelsesbygning</w:t>
    </w:r>
    <w:r w:rsidR="008C42E7">
      <w:rPr>
        <w:rStyle w:val="Sidetal"/>
        <w:sz w:val="14"/>
        <w:szCs w:val="14"/>
      </w:rPr>
      <w:t xml:space="preserve"> til naturformål</w:t>
    </w:r>
    <w:r w:rsidR="008C423E">
      <w:rPr>
        <w:rStyle w:val="Sidetal"/>
        <w:sz w:val="14"/>
        <w:szCs w:val="14"/>
      </w:rPr>
      <w:t xml:space="preserve"> - § 10, stk. 4</w:t>
    </w:r>
  </w:p>
  <w:p w:rsidR="00213E81" w:rsidRPr="00A131F9" w:rsidRDefault="0090160D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8C42E7">
      <w:rPr>
        <w:rStyle w:val="Sidetal"/>
        <w:sz w:val="14"/>
        <w:szCs w:val="14"/>
      </w:rPr>
      <w:t>03</w:t>
    </w:r>
    <w:r w:rsidR="006B552D">
      <w:rPr>
        <w:rStyle w:val="Sidetal"/>
        <w:sz w:val="14"/>
        <w:szCs w:val="14"/>
      </w:rPr>
      <w:t>.</w:t>
    </w:r>
    <w:r w:rsidR="008C42E7">
      <w:rPr>
        <w:rStyle w:val="Sidetal"/>
        <w:sz w:val="14"/>
        <w:szCs w:val="14"/>
      </w:rPr>
      <w:t>03</w:t>
    </w:r>
    <w:r w:rsidR="006B552D">
      <w:rPr>
        <w:rStyle w:val="Sidetal"/>
        <w:sz w:val="14"/>
        <w:szCs w:val="14"/>
      </w:rPr>
      <w:t>.202</w:t>
    </w:r>
    <w:r w:rsidR="008C42E7">
      <w:rPr>
        <w:rStyle w:val="Sidetal"/>
        <w:sz w:val="14"/>
        <w:szCs w:val="14"/>
      </w:rPr>
      <w:t>5</w:t>
    </w:r>
    <w:r w:rsidR="00A56D80">
      <w:rPr>
        <w:rStyle w:val="Sidetal"/>
        <w:sz w:val="14"/>
        <w:szCs w:val="14"/>
      </w:rPr>
      <w:t>)</w:t>
    </w:r>
  </w:p>
  <w:p w:rsidR="00386DD2" w:rsidRPr="00213E81" w:rsidRDefault="00213E81" w:rsidP="00213E81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A131F9">
      <w:rPr>
        <w:rStyle w:val="Sidetal"/>
        <w:sz w:val="22"/>
        <w:szCs w:val="14"/>
      </w:rPr>
      <w:t xml:space="preserve">Side </w:t>
    </w:r>
    <w:r w:rsidRPr="00A131F9">
      <w:rPr>
        <w:rStyle w:val="Sidetal"/>
        <w:b/>
        <w:sz w:val="22"/>
        <w:szCs w:val="14"/>
      </w:rPr>
      <w:fldChar w:fldCharType="begin"/>
    </w:r>
    <w:r w:rsidRPr="00A131F9">
      <w:rPr>
        <w:rStyle w:val="Sidetal"/>
        <w:b/>
        <w:sz w:val="22"/>
        <w:szCs w:val="14"/>
      </w:rPr>
      <w:instrText>PAGE  \* Arabic  \* MERGEFORMAT</w:instrText>
    </w:r>
    <w:r w:rsidRPr="00A131F9">
      <w:rPr>
        <w:rStyle w:val="Sidetal"/>
        <w:b/>
        <w:sz w:val="22"/>
        <w:szCs w:val="14"/>
      </w:rPr>
      <w:fldChar w:fldCharType="separate"/>
    </w:r>
    <w:r w:rsidR="006A7F08">
      <w:rPr>
        <w:rStyle w:val="Sidetal"/>
        <w:b/>
        <w:noProof/>
        <w:sz w:val="22"/>
        <w:szCs w:val="14"/>
      </w:rPr>
      <w:t>1</w:t>
    </w:r>
    <w:r w:rsidRPr="00A131F9">
      <w:rPr>
        <w:rStyle w:val="Sidetal"/>
        <w:b/>
        <w:sz w:val="22"/>
        <w:szCs w:val="14"/>
      </w:rPr>
      <w:fldChar w:fldCharType="end"/>
    </w:r>
    <w:r w:rsidRPr="00A131F9">
      <w:rPr>
        <w:rStyle w:val="Sidetal"/>
        <w:sz w:val="22"/>
        <w:szCs w:val="14"/>
      </w:rPr>
      <w:t xml:space="preserve"> af </w:t>
    </w:r>
    <w:r>
      <w:rPr>
        <w:rStyle w:val="Sidetal"/>
        <w:b/>
        <w:sz w:val="22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- 13</w:t>
    </w:r>
    <w:r>
      <w:rPr>
        <w:rStyle w:val="Sidetal"/>
        <w:sz w:val="18"/>
        <w:szCs w:val="18"/>
      </w:rPr>
      <w:tab/>
    </w:r>
    <w:r w:rsidR="008C42E7">
      <w:rPr>
        <w:rStyle w:val="Sidetal"/>
        <w:sz w:val="18"/>
        <w:szCs w:val="18"/>
      </w:rPr>
      <w:t>Styrelsen for Grøn Arealomlægning og Vandmiljø</w:t>
    </w:r>
  </w:p>
  <w:p w:rsidR="00386DD2" w:rsidRPr="00C71191" w:rsidRDefault="002164FD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O</w:t>
    </w:r>
    <w:r w:rsidR="00386DD2">
      <w:rPr>
        <w:rStyle w:val="Sidetal"/>
        <w:sz w:val="18"/>
        <w:szCs w:val="18"/>
      </w:rPr>
      <w:t>prettelse af en landbrugsejendom uden beboelsesbygning</w:t>
    </w:r>
    <w:r w:rsidR="00386DD2" w:rsidRPr="00666F2B">
      <w:rPr>
        <w:rStyle w:val="Sidetal"/>
        <w:sz w:val="18"/>
        <w:szCs w:val="18"/>
      </w:rPr>
      <w:tab/>
    </w:r>
    <w:r w:rsidR="00D154EA">
      <w:rPr>
        <w:rStyle w:val="Sidetal"/>
        <w:sz w:val="18"/>
        <w:szCs w:val="18"/>
      </w:rPr>
      <w:t>14. juni 2013</w:t>
    </w:r>
    <w:r>
      <w:rPr>
        <w:rStyle w:val="Sidetal"/>
        <w:sz w:val="18"/>
        <w:szCs w:val="18"/>
      </w:rPr>
      <w:t xml:space="preserve"> </w:t>
    </w:r>
    <w:r w:rsidR="00386DD2" w:rsidRPr="00666F2B">
      <w:rPr>
        <w:rStyle w:val="Sidetal"/>
        <w:sz w:val="18"/>
        <w:szCs w:val="18"/>
      </w:rPr>
      <w:t xml:space="preserve">-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PAGE </w:instrText>
    </w:r>
    <w:r w:rsidR="00386DD2" w:rsidRPr="00666F2B">
      <w:rPr>
        <w:rStyle w:val="Sidetal"/>
        <w:sz w:val="18"/>
        <w:szCs w:val="18"/>
      </w:rPr>
      <w:fldChar w:fldCharType="separate"/>
    </w:r>
    <w:r w:rsidR="009C7917">
      <w:rPr>
        <w:rStyle w:val="Sidetal"/>
        <w:noProof/>
        <w:sz w:val="18"/>
        <w:szCs w:val="18"/>
      </w:rPr>
      <w:t>1</w:t>
    </w:r>
    <w:r w:rsidR="00386DD2" w:rsidRPr="00666F2B">
      <w:rPr>
        <w:rStyle w:val="Sidetal"/>
        <w:sz w:val="18"/>
        <w:szCs w:val="18"/>
      </w:rPr>
      <w:fldChar w:fldCharType="end"/>
    </w:r>
    <w:r w:rsidR="00386DD2" w:rsidRPr="00666F2B">
      <w:rPr>
        <w:rStyle w:val="Sidetal"/>
        <w:sz w:val="18"/>
        <w:szCs w:val="18"/>
      </w:rPr>
      <w:t xml:space="preserve"> /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NUMPAGES </w:instrText>
    </w:r>
    <w:r w:rsidR="00386DD2" w:rsidRPr="00666F2B">
      <w:rPr>
        <w:rStyle w:val="Sidetal"/>
        <w:sz w:val="18"/>
        <w:szCs w:val="18"/>
      </w:rPr>
      <w:fldChar w:fldCharType="separate"/>
    </w:r>
    <w:r w:rsidR="00D60084">
      <w:rPr>
        <w:rStyle w:val="Sidetal"/>
        <w:noProof/>
        <w:sz w:val="18"/>
        <w:szCs w:val="18"/>
      </w:rPr>
      <w:t>2</w:t>
    </w:r>
    <w:r w:rsidR="00386DD2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AA" w:rsidRDefault="00433FAA">
      <w:r>
        <w:separator/>
      </w:r>
    </w:p>
  </w:footnote>
  <w:footnote w:type="continuationSeparator" w:id="0">
    <w:p w:rsidR="00433FAA" w:rsidRDefault="004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61A"/>
    <w:multiLevelType w:val="hybridMultilevel"/>
    <w:tmpl w:val="4082318C"/>
    <w:lvl w:ilvl="0" w:tplc="2724D9BC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8B91E1F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C0C39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DB70F1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32E3"/>
    <w:multiLevelType w:val="hybridMultilevel"/>
    <w:tmpl w:val="36608B78"/>
    <w:lvl w:ilvl="0" w:tplc="EA5A223A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iM79Sb6G10TFcnYgB6evi0TdgXk7HkSOlQ6QzaX6ZENp11GrsEddiPVRSyKxrxR"/>
  </w:docVars>
  <w:rsids>
    <w:rsidRoot w:val="00824819"/>
    <w:rsid w:val="000039FB"/>
    <w:rsid w:val="00015516"/>
    <w:rsid w:val="00025EBD"/>
    <w:rsid w:val="000A009E"/>
    <w:rsid w:val="000D3E37"/>
    <w:rsid w:val="00125BF6"/>
    <w:rsid w:val="00126563"/>
    <w:rsid w:val="00147814"/>
    <w:rsid w:val="00152628"/>
    <w:rsid w:val="00187211"/>
    <w:rsid w:val="00200BF2"/>
    <w:rsid w:val="00213E81"/>
    <w:rsid w:val="002164FD"/>
    <w:rsid w:val="002248B4"/>
    <w:rsid w:val="00235FCB"/>
    <w:rsid w:val="002C0F2B"/>
    <w:rsid w:val="002C53A3"/>
    <w:rsid w:val="002C70E4"/>
    <w:rsid w:val="002E00B1"/>
    <w:rsid w:val="00310467"/>
    <w:rsid w:val="00356322"/>
    <w:rsid w:val="003629FB"/>
    <w:rsid w:val="00386DD2"/>
    <w:rsid w:val="003A0FA2"/>
    <w:rsid w:val="003D172C"/>
    <w:rsid w:val="003F45A2"/>
    <w:rsid w:val="00415BCA"/>
    <w:rsid w:val="00433FAA"/>
    <w:rsid w:val="00474BDC"/>
    <w:rsid w:val="004913E0"/>
    <w:rsid w:val="004A10D3"/>
    <w:rsid w:val="004B2826"/>
    <w:rsid w:val="004C404F"/>
    <w:rsid w:val="004C5453"/>
    <w:rsid w:val="004F3529"/>
    <w:rsid w:val="00505594"/>
    <w:rsid w:val="00526D86"/>
    <w:rsid w:val="005568AA"/>
    <w:rsid w:val="00596A61"/>
    <w:rsid w:val="005D369D"/>
    <w:rsid w:val="005F4FC4"/>
    <w:rsid w:val="005F6DC8"/>
    <w:rsid w:val="006571ED"/>
    <w:rsid w:val="006A7F08"/>
    <w:rsid w:val="006B552D"/>
    <w:rsid w:val="006C076F"/>
    <w:rsid w:val="00774B26"/>
    <w:rsid w:val="007815CB"/>
    <w:rsid w:val="00793CAE"/>
    <w:rsid w:val="007B2FC1"/>
    <w:rsid w:val="007B7FBB"/>
    <w:rsid w:val="007C4D23"/>
    <w:rsid w:val="007C51E1"/>
    <w:rsid w:val="007D5ABC"/>
    <w:rsid w:val="007F0A17"/>
    <w:rsid w:val="00824819"/>
    <w:rsid w:val="00862109"/>
    <w:rsid w:val="008716E7"/>
    <w:rsid w:val="008A3004"/>
    <w:rsid w:val="008A3C04"/>
    <w:rsid w:val="008C423E"/>
    <w:rsid w:val="008C42E7"/>
    <w:rsid w:val="0090160D"/>
    <w:rsid w:val="009428A7"/>
    <w:rsid w:val="00945E9D"/>
    <w:rsid w:val="00967FC6"/>
    <w:rsid w:val="009707B8"/>
    <w:rsid w:val="00985BF8"/>
    <w:rsid w:val="00993F66"/>
    <w:rsid w:val="00995003"/>
    <w:rsid w:val="009C7917"/>
    <w:rsid w:val="00A25AD9"/>
    <w:rsid w:val="00A56D80"/>
    <w:rsid w:val="00A67A8E"/>
    <w:rsid w:val="00AD3D3D"/>
    <w:rsid w:val="00B05CA8"/>
    <w:rsid w:val="00B23E94"/>
    <w:rsid w:val="00B24A51"/>
    <w:rsid w:val="00B3099B"/>
    <w:rsid w:val="00B875D3"/>
    <w:rsid w:val="00BA22E3"/>
    <w:rsid w:val="00BA5E35"/>
    <w:rsid w:val="00C11FD1"/>
    <w:rsid w:val="00C21C61"/>
    <w:rsid w:val="00C26DF9"/>
    <w:rsid w:val="00C452D5"/>
    <w:rsid w:val="00C500D8"/>
    <w:rsid w:val="00C71191"/>
    <w:rsid w:val="00C843E8"/>
    <w:rsid w:val="00C908F7"/>
    <w:rsid w:val="00D154EA"/>
    <w:rsid w:val="00D2245E"/>
    <w:rsid w:val="00D3348A"/>
    <w:rsid w:val="00D43BBB"/>
    <w:rsid w:val="00D53235"/>
    <w:rsid w:val="00D60084"/>
    <w:rsid w:val="00D65F60"/>
    <w:rsid w:val="00DC43B3"/>
    <w:rsid w:val="00E228D0"/>
    <w:rsid w:val="00E36C01"/>
    <w:rsid w:val="00E459A1"/>
    <w:rsid w:val="00E50B79"/>
    <w:rsid w:val="00E72D95"/>
    <w:rsid w:val="00E77742"/>
    <w:rsid w:val="00E85228"/>
    <w:rsid w:val="00EB1DF8"/>
    <w:rsid w:val="00EC2E88"/>
    <w:rsid w:val="00ED58D7"/>
    <w:rsid w:val="00EE7761"/>
    <w:rsid w:val="00EF209C"/>
    <w:rsid w:val="00F0456E"/>
    <w:rsid w:val="00F07B32"/>
    <w:rsid w:val="00F43CE3"/>
    <w:rsid w:val="00F5372D"/>
    <w:rsid w:val="00F735AF"/>
    <w:rsid w:val="00F7437E"/>
    <w:rsid w:val="00FA58F9"/>
    <w:rsid w:val="00FB5F4C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2EDAE4"/>
  <w15:chartTrackingRefBased/>
  <w15:docId w15:val="{D5187470-7800-4C5C-A160-4225907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86DD2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213E81"/>
    <w:rPr>
      <w:sz w:val="24"/>
    </w:rPr>
  </w:style>
  <w:style w:type="paragraph" w:styleId="Slutnotetekst">
    <w:name w:val="endnote text"/>
    <w:basedOn w:val="Normal"/>
    <w:link w:val="SlutnotetekstTegn"/>
    <w:uiPriority w:val="99"/>
    <w:unhideWhenUsed/>
    <w:rsid w:val="004F3529"/>
    <w:rPr>
      <w:rFonts w:ascii="Calibri" w:hAnsi="Calibri"/>
      <w:sz w:val="20"/>
    </w:rPr>
  </w:style>
  <w:style w:type="character" w:customStyle="1" w:styleId="SlutnotetekstTegn">
    <w:name w:val="Slutnotetekst Tegn"/>
    <w:link w:val="Slutnotetekst"/>
    <w:uiPriority w:val="99"/>
    <w:rsid w:val="004F35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18</cp:revision>
  <cp:lastPrinted>2014-10-17T08:24:00Z</cp:lastPrinted>
  <dcterms:created xsi:type="dcterms:W3CDTF">2023-11-24T12:04:00Z</dcterms:created>
  <dcterms:modified xsi:type="dcterms:W3CDTF">2025-03-03T14:11:00Z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