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8C" w:rsidRPr="00E46CF2" w:rsidRDefault="00021E8C" w:rsidP="00D12F78">
      <w:pPr>
        <w:spacing w:after="120"/>
      </w:pPr>
    </w:p>
    <w:tbl>
      <w:tblPr>
        <w:tblStyle w:val="Tabel-Gitter"/>
        <w:tblW w:w="9356"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39"/>
        <w:gridCol w:w="2217"/>
      </w:tblGrid>
      <w:tr w:rsidR="00021E8C" w:rsidRPr="00E46CF2" w:rsidTr="00BA4AB4">
        <w:trPr>
          <w:cantSplit/>
          <w:trHeight w:val="2500"/>
        </w:trPr>
        <w:tc>
          <w:tcPr>
            <w:tcW w:w="7139" w:type="dxa"/>
          </w:tcPr>
          <w:p w:rsidR="00CF614F" w:rsidRPr="00E46CF2" w:rsidRDefault="00CF614F" w:rsidP="00D12F78">
            <w:pPr>
              <w:spacing w:after="120"/>
              <w:ind w:right="476"/>
              <w:rPr>
                <w:b/>
                <w:sz w:val="18"/>
              </w:rPr>
            </w:pPr>
          </w:p>
        </w:tc>
        <w:tc>
          <w:tcPr>
            <w:tcW w:w="2217" w:type="dxa"/>
          </w:tcPr>
          <w:p w:rsidR="00CF614F" w:rsidRPr="00E46CF2" w:rsidRDefault="00CF614F" w:rsidP="00D12F78">
            <w:pPr>
              <w:spacing w:after="120"/>
            </w:pPr>
          </w:p>
          <w:p w:rsidR="00CF614F" w:rsidRPr="00E46CF2" w:rsidRDefault="00CF614F" w:rsidP="00D12F78">
            <w:pPr>
              <w:spacing w:after="120"/>
            </w:pPr>
          </w:p>
          <w:p w:rsidR="00CF614F" w:rsidRPr="00E46CF2" w:rsidRDefault="00CF614F" w:rsidP="00D12F78">
            <w:pPr>
              <w:spacing w:after="120"/>
            </w:pPr>
          </w:p>
          <w:p w:rsidR="00CF614F" w:rsidRPr="00E46CF2" w:rsidRDefault="00CF614F" w:rsidP="00D12F78">
            <w:pPr>
              <w:spacing w:after="120"/>
              <w:jc w:val="right"/>
              <w:rPr>
                <w:b/>
              </w:rPr>
            </w:pPr>
          </w:p>
          <w:p w:rsidR="005271D6" w:rsidRPr="00E46CF2" w:rsidRDefault="005271D6" w:rsidP="00D12F78">
            <w:pPr>
              <w:spacing w:after="120"/>
              <w:jc w:val="right"/>
              <w:rPr>
                <w:b/>
              </w:rPr>
            </w:pPr>
          </w:p>
          <w:p w:rsidR="008C0C0C" w:rsidRPr="00E46CF2" w:rsidRDefault="008C0C0C" w:rsidP="00D12F78">
            <w:pPr>
              <w:spacing w:after="120"/>
              <w:jc w:val="right"/>
              <w:rPr>
                <w:b/>
              </w:rPr>
            </w:pPr>
          </w:p>
          <w:p w:rsidR="008C0C0C" w:rsidRPr="00E46CF2" w:rsidRDefault="008C0C0C" w:rsidP="00D12F78">
            <w:pPr>
              <w:spacing w:after="120"/>
              <w:jc w:val="right"/>
              <w:rPr>
                <w:b/>
              </w:rPr>
            </w:pPr>
          </w:p>
          <w:p w:rsidR="008C0C0C" w:rsidRPr="00E46CF2" w:rsidRDefault="008C0C0C" w:rsidP="00D12F78">
            <w:pPr>
              <w:spacing w:after="120"/>
              <w:jc w:val="right"/>
              <w:rPr>
                <w:b/>
              </w:rPr>
            </w:pPr>
          </w:p>
        </w:tc>
      </w:tr>
      <w:tr w:rsidR="00021E8C" w:rsidRPr="00E46CF2" w:rsidTr="00BA4AB4">
        <w:trPr>
          <w:cantSplit/>
          <w:trHeight w:val="504"/>
        </w:trPr>
        <w:tc>
          <w:tcPr>
            <w:tcW w:w="7139" w:type="dxa"/>
          </w:tcPr>
          <w:p w:rsidR="001E2C41" w:rsidRPr="005C50DF" w:rsidRDefault="00541D1B" w:rsidP="00D12F78">
            <w:pPr>
              <w:spacing w:after="120"/>
              <w:contextualSpacing/>
              <w:rPr>
                <w:b/>
                <w:sz w:val="22"/>
                <w:szCs w:val="22"/>
              </w:rPr>
            </w:pPr>
            <w:r w:rsidRPr="00E46CF2">
              <w:t xml:space="preserve"> </w:t>
            </w:r>
            <w:r w:rsidR="001E2C41" w:rsidRPr="001E2C41">
              <w:rPr>
                <w:b/>
                <w:sz w:val="22"/>
                <w:szCs w:val="22"/>
              </w:rPr>
              <w:t>Aftalebaseret kvalitetsordning for skov</w:t>
            </w:r>
            <w:r w:rsidR="00473F7F">
              <w:rPr>
                <w:b/>
                <w:sz w:val="22"/>
                <w:szCs w:val="22"/>
              </w:rPr>
              <w:t>frø af OECD-arter</w:t>
            </w:r>
          </w:p>
          <w:p w:rsidR="00541D1B" w:rsidRPr="00E46CF2" w:rsidRDefault="00541D1B" w:rsidP="00D12F78">
            <w:pPr>
              <w:spacing w:after="120"/>
            </w:pPr>
          </w:p>
        </w:tc>
        <w:tc>
          <w:tcPr>
            <w:tcW w:w="2217" w:type="dxa"/>
          </w:tcPr>
          <w:p w:rsidR="00541D1B" w:rsidRPr="00E46CF2" w:rsidRDefault="00541D1B" w:rsidP="00D12F78">
            <w:pPr>
              <w:spacing w:after="120"/>
            </w:pPr>
          </w:p>
        </w:tc>
      </w:tr>
    </w:tbl>
    <w:p w:rsidR="001E2C41" w:rsidRDefault="001E2C41" w:rsidP="00D12F78">
      <w:pPr>
        <w:spacing w:after="120"/>
        <w:rPr>
          <w:b/>
          <w:sz w:val="22"/>
          <w:szCs w:val="22"/>
        </w:rPr>
      </w:pPr>
    </w:p>
    <w:p w:rsidR="001E2C41" w:rsidRPr="00F71904" w:rsidRDefault="007424C6" w:rsidP="003566A3">
      <w:pPr>
        <w:spacing w:before="120" w:after="120" w:line="288" w:lineRule="auto"/>
        <w:rPr>
          <w:b/>
        </w:rPr>
      </w:pPr>
      <w:r>
        <w:rPr>
          <w:b/>
        </w:rPr>
        <w:t>Frivillig g</w:t>
      </w:r>
      <w:r w:rsidR="001E2C41" w:rsidRPr="00F71904">
        <w:rPr>
          <w:b/>
        </w:rPr>
        <w:t xml:space="preserve">ensidig forpligtende aftale for handel i Danmark med </w:t>
      </w:r>
      <w:r>
        <w:rPr>
          <w:b/>
        </w:rPr>
        <w:t>skov</w:t>
      </w:r>
      <w:r w:rsidR="001E2C41" w:rsidRPr="00F71904">
        <w:rPr>
          <w:b/>
        </w:rPr>
        <w:t xml:space="preserve">frø og </w:t>
      </w:r>
      <w:r>
        <w:rPr>
          <w:b/>
        </w:rPr>
        <w:t>-</w:t>
      </w:r>
      <w:r w:rsidR="001E2C41" w:rsidRPr="00F71904">
        <w:rPr>
          <w:b/>
        </w:rPr>
        <w:t xml:space="preserve">planter, der ikke kan certificeres efter </w:t>
      </w:r>
      <w:r w:rsidRPr="00F71904">
        <w:rPr>
          <w:b/>
        </w:rPr>
        <w:t>OECD’s</w:t>
      </w:r>
      <w:r w:rsidR="001E2C41" w:rsidRPr="00F71904">
        <w:rPr>
          <w:b/>
        </w:rPr>
        <w:t xml:space="preserve"> regler</w:t>
      </w:r>
      <w:r w:rsidR="00473F7F" w:rsidRPr="00F71904">
        <w:rPr>
          <w:b/>
        </w:rPr>
        <w:t>. Aftalen administreres af Landbrugsstyrelsen.</w:t>
      </w:r>
    </w:p>
    <w:p w:rsidR="001E2C41" w:rsidRPr="00472F38" w:rsidRDefault="001E2C41" w:rsidP="003566A3">
      <w:pPr>
        <w:spacing w:before="120" w:after="120" w:line="288" w:lineRule="auto"/>
      </w:pPr>
      <w:r w:rsidRPr="00472F38">
        <w:t>Kvalitetsordningen omfatter materiale med oprindelse i lande, der ikke har implementeret OECD-certificering for de pågældende arter, jf. pkt. 1 nedenfor. Ordningen omfatter udelukkende arter, som kan OECD-certificeres i Danmark, men som ikke er reguleret af EU's regler om certificering af forstligt formeringsmateriale. For nærværende drejer det sig om syv arter.</w:t>
      </w:r>
    </w:p>
    <w:p w:rsidR="001E2C41" w:rsidRPr="00472F38" w:rsidRDefault="001E2C41" w:rsidP="003566A3">
      <w:pPr>
        <w:spacing w:before="120" w:after="120" w:line="288" w:lineRule="auto"/>
      </w:pPr>
      <w:r w:rsidRPr="00472F38">
        <w:t xml:space="preserve">Målet er at skabe en aftalebaseret kvalitetsordning, der kan give de tilmeldte virksomheder en registrering af de ønskede partier af frø/planter, som så vidt muligt følger retningslinjerne for OECD-certificering.  Det vil dog i den aftalebaserede kvalitetsordning, i modsætning til reglerne for OECD-certificering, være muligt at opretholde registreringsnummeret for partier eller dele af partier af frø eller planter, når de ikke længere er omfattet af den aftalebaserede ordning. </w:t>
      </w:r>
    </w:p>
    <w:p w:rsidR="001E2C41" w:rsidRPr="00472F38" w:rsidRDefault="001E2C41" w:rsidP="003566A3">
      <w:pPr>
        <w:spacing w:before="120" w:after="120" w:line="288" w:lineRule="auto"/>
      </w:pPr>
      <w:r w:rsidRPr="00472F38">
        <w:t xml:space="preserve">Importøren skal kunne dokumentere uvildig kontrol med frøenes identitet indtil import. Denne kontrol skal udføres af en godkendt akkrediteret auditeringsvirksomhed i et EA-medlemsland eller EA-samarbejdsland. Auditeringsvirksomheden skal opfylde reglerne vedtaget for EA. Auditeringsvirksomheden skal auditere implementeringen af virksomhedens kvalitetssystem, og skal desuden foretage stikprøvevis kontrol af håndteringen af frøene i oprindelseslandet, jf. aftalens bilag 1. </w:t>
      </w:r>
      <w:r>
        <w:t>Landbrugsstyrelsen, herefter styrelsen,</w:t>
      </w:r>
      <w:r w:rsidRPr="00472F38">
        <w:t xml:space="preserve"> forestår kontrol ved import og med overdragelse/handel i Danmark, svarende til den danske kontrol af handel med certificerede frø og planter af OECD-arter. Virksomheder, der er tilmeldt den aftalebaserede kvalitetsordning, vil modtage kontrol, fra </w:t>
      </w:r>
      <w:r>
        <w:t>styrelsen</w:t>
      </w:r>
      <w:r w:rsidRPr="00472F38">
        <w:t>, af aktiviteter i Danmark, herunder af opbevaring og handel med registrerede partier.</w:t>
      </w:r>
    </w:p>
    <w:p w:rsidR="001E2C41" w:rsidRPr="00472F38" w:rsidRDefault="001E2C41" w:rsidP="003566A3">
      <w:pPr>
        <w:spacing w:before="120" w:after="120" w:line="288" w:lineRule="auto"/>
      </w:pPr>
      <w:r w:rsidRPr="00472F38">
        <w:t>Kontrollen i Danmark, hos tilmeldte virksomheder, dækker: registreret materiale, der er omfattet af den aftalebaserede kvalitetsordning, samt OECD-certificeret materiale og materiale, der ikke er omfattet af disse ordninger, såfremt dette materiale er af samme art som, det registrerede.</w:t>
      </w:r>
    </w:p>
    <w:p w:rsidR="001E2C41" w:rsidRPr="00472F38" w:rsidRDefault="001E2C41" w:rsidP="003566A3">
      <w:pPr>
        <w:spacing w:before="120" w:after="120" w:line="288" w:lineRule="auto"/>
      </w:pPr>
      <w:r w:rsidRPr="00472F38">
        <w:t xml:space="preserve">Ordningen er baseret på dokumentation for materialets oprindelse og sporbarhed fra høst i oprindelseslandet til import til Danmark og ved handel i Danmark. Frø/planter er ikke længere omfattet af ordningen, når det er overdraget/solgt til en virksomhed, der ikke er tilmeldt den aftalebaserede ordning, jf. pkt. 7, stk. 2.   I ordningen kan registrerede frø og planter bibeholde ordningens oprindelige registreringsnummer, selvom de handles til parter, der ikke er med i ordningen. Ved handel til parter, der ikke er med i ordningen, er de registrerede frø og planter ikke længere omfattet af ordningen. </w:t>
      </w:r>
    </w:p>
    <w:p w:rsidR="001E2C41" w:rsidRPr="00472F38" w:rsidRDefault="001E2C41" w:rsidP="003566A3">
      <w:pPr>
        <w:spacing w:before="120" w:after="120" w:line="288" w:lineRule="auto"/>
      </w:pPr>
      <w:r w:rsidRPr="00472F38">
        <w:lastRenderedPageBreak/>
        <w:t>Ordningen etableres som indtægtsdækket virksomhed</w:t>
      </w:r>
      <w:r w:rsidR="00473F7F">
        <w:t xml:space="preserve"> med hjemmel i Finansloven</w:t>
      </w:r>
      <w:r w:rsidRPr="00472F38">
        <w:t xml:space="preserve">, og </w:t>
      </w:r>
      <w:r>
        <w:t>styrelsen</w:t>
      </w:r>
      <w:r w:rsidRPr="00472F38">
        <w:t xml:space="preserve"> skal således have alle udgifter ved drift af ordningen dækket via betaling fra de tilmeldte virksomheder. Priserne til dækning af ydelserne reguleres forud for hvert høstår. </w:t>
      </w:r>
      <w:r>
        <w:t>Styrelsen</w:t>
      </w:r>
      <w:r w:rsidRPr="00472F38">
        <w:t xml:space="preserve"> kan nedlægge ordningen med udgangen af et høstår, f.eks. hvis der ikke kan skabes økonomisk grundlag for den, jf. pkt. 2, stk. 4.</w:t>
      </w:r>
    </w:p>
    <w:p w:rsidR="003566A3" w:rsidRDefault="003566A3" w:rsidP="003566A3">
      <w:pPr>
        <w:spacing w:before="120" w:after="120" w:line="288" w:lineRule="auto"/>
        <w:rPr>
          <w:b/>
        </w:rPr>
      </w:pPr>
    </w:p>
    <w:p w:rsidR="001E2C41" w:rsidRPr="003566A3" w:rsidRDefault="001E2C41" w:rsidP="003566A3">
      <w:pPr>
        <w:spacing w:before="120" w:after="120" w:line="288" w:lineRule="auto"/>
        <w:rPr>
          <w:b/>
          <w:sz w:val="22"/>
          <w:szCs w:val="22"/>
        </w:rPr>
      </w:pPr>
      <w:r w:rsidRPr="003566A3">
        <w:rPr>
          <w:b/>
          <w:sz w:val="22"/>
          <w:szCs w:val="22"/>
        </w:rPr>
        <w:t xml:space="preserve">Nedenstående aftale kan indgås mellem Landbrugsstyrelsen og tilmeldte virksomheder </w:t>
      </w:r>
    </w:p>
    <w:p w:rsidR="001E2C41" w:rsidRPr="00472F38" w:rsidRDefault="001E2C41" w:rsidP="003566A3">
      <w:pPr>
        <w:spacing w:before="120" w:after="120" w:line="288" w:lineRule="auto"/>
        <w:rPr>
          <w:i/>
        </w:rPr>
      </w:pPr>
      <w:r w:rsidRPr="00472F38">
        <w:rPr>
          <w:i/>
        </w:rPr>
        <w:t>Anvendelsesområde</w:t>
      </w:r>
    </w:p>
    <w:p w:rsidR="001E2C41" w:rsidRPr="00472F38" w:rsidRDefault="001E2C41" w:rsidP="003566A3">
      <w:pPr>
        <w:spacing w:before="120" w:after="120" w:line="288" w:lineRule="auto"/>
      </w:pPr>
      <w:r w:rsidRPr="003566A3">
        <w:rPr>
          <w:b/>
        </w:rPr>
        <w:t>Pkt.1.</w:t>
      </w:r>
      <w:r w:rsidRPr="00472F38">
        <w:t xml:space="preserve"> </w:t>
      </w:r>
      <w:r>
        <w:t>Styrelsen</w:t>
      </w:r>
      <w:r w:rsidRPr="00472F38">
        <w:t xml:space="preserve"> kan registrere partier af forstligt formeringsmateriale af plantearter, der ikke er omfattet af EU´s regler, og som Danmark, i modsætning til høstlandet, har implementeret OECD-certificering for, jf. bekendtgørelse nr. </w:t>
      </w:r>
      <w:r w:rsidR="00473F7F">
        <w:t>596</w:t>
      </w:r>
      <w:r w:rsidRPr="00472F38">
        <w:t xml:space="preserve"> af </w:t>
      </w:r>
      <w:r w:rsidR="00473F7F">
        <w:t>31</w:t>
      </w:r>
      <w:r w:rsidRPr="00472F38">
        <w:t xml:space="preserve">. </w:t>
      </w:r>
      <w:r w:rsidR="00473F7F">
        <w:t>maj 2017</w:t>
      </w:r>
      <w:r w:rsidRPr="00472F38">
        <w:t xml:space="preserve"> om skovfrø og </w:t>
      </w:r>
      <w:r w:rsidR="00473F7F">
        <w:t>-</w:t>
      </w:r>
      <w:r w:rsidRPr="00472F38">
        <w:t xml:space="preserve">planter bilag 3B. </w:t>
      </w:r>
    </w:p>
    <w:p w:rsidR="001E2C41" w:rsidRPr="00472F38" w:rsidRDefault="001E2C41" w:rsidP="003566A3">
      <w:pPr>
        <w:spacing w:before="120" w:after="120" w:line="288" w:lineRule="auto"/>
      </w:pPr>
      <w:r w:rsidRPr="00472F38">
        <w:t xml:space="preserve">Ordningen gælder for: </w:t>
      </w:r>
    </w:p>
    <w:p w:rsidR="003566A3" w:rsidRDefault="001E2C41" w:rsidP="003566A3">
      <w:pPr>
        <w:pStyle w:val="Listeafsnit"/>
        <w:numPr>
          <w:ilvl w:val="0"/>
          <w:numId w:val="20"/>
        </w:numPr>
        <w:spacing w:before="120" w:after="120" w:line="288" w:lineRule="auto"/>
        <w:contextualSpacing w:val="0"/>
      </w:pPr>
      <w:r w:rsidRPr="00472F38">
        <w:t>Frø og kogler, der produceres i og eksporteres direkte til Danmark fra lande, der ikke har indført OECD-certificering for den pågældende art, og som høstes og importeres af virksomheder, der er tilmeldt den aftalebaserede kvalitetsordning.</w:t>
      </w:r>
    </w:p>
    <w:p w:rsidR="001E2C41" w:rsidRPr="00472F38" w:rsidRDefault="001E2C41" w:rsidP="003566A3">
      <w:pPr>
        <w:pStyle w:val="Listeafsnit"/>
        <w:numPr>
          <w:ilvl w:val="0"/>
          <w:numId w:val="20"/>
        </w:numPr>
        <w:spacing w:before="120" w:after="120" w:line="288" w:lineRule="auto"/>
        <w:contextualSpacing w:val="0"/>
      </w:pPr>
      <w:r w:rsidRPr="00472F38">
        <w:t>Planter produceret i Danmark af tilmeldte virksomheder på baggrund af frø importeret under den aftalebaserede kvalitetsordning.</w:t>
      </w:r>
    </w:p>
    <w:p w:rsidR="001E2C41" w:rsidRPr="00472F38" w:rsidRDefault="001E2C41" w:rsidP="003566A3">
      <w:pPr>
        <w:spacing w:before="120" w:after="120" w:line="288" w:lineRule="auto"/>
      </w:pPr>
      <w:r w:rsidRPr="00472F38">
        <w:t>Stk.2. Ved høstår forstås den periode fra 1. august til 31. juli det følgende år, hvori frøet er modnet og høstet.</w:t>
      </w:r>
    </w:p>
    <w:p w:rsidR="001E2C41" w:rsidRPr="00472F38" w:rsidRDefault="001E2C41" w:rsidP="003566A3">
      <w:pPr>
        <w:spacing w:before="120" w:after="120" w:line="288" w:lineRule="auto"/>
      </w:pPr>
      <w:r w:rsidRPr="00472F38">
        <w:t>Stk. 3. Registrerede frø/planter kan identificeres ved et entydigt ID-nummer, jf. bilag 1, pkt. h. Registrerede frø/planter er omfattet af ordningen, indtil de overdrages til en virksomhed, der ikke er tilmeldt ordningen. Frø/planter kan ikke genindtræde i ordningen.</w:t>
      </w:r>
    </w:p>
    <w:p w:rsidR="001E2C41" w:rsidRPr="00472F38" w:rsidRDefault="001E2C41" w:rsidP="003566A3">
      <w:pPr>
        <w:spacing w:before="120" w:after="120" w:line="288" w:lineRule="auto"/>
      </w:pPr>
      <w:r w:rsidRPr="00472F38">
        <w:rPr>
          <w:i/>
        </w:rPr>
        <w:t>Tilmelding</w:t>
      </w:r>
    </w:p>
    <w:p w:rsidR="001E2C41" w:rsidRPr="00472F38" w:rsidRDefault="001E2C41" w:rsidP="003566A3">
      <w:pPr>
        <w:spacing w:before="120" w:after="120" w:line="288" w:lineRule="auto"/>
      </w:pPr>
      <w:r w:rsidRPr="003566A3">
        <w:rPr>
          <w:b/>
        </w:rPr>
        <w:t>Pkt. 2.</w:t>
      </w:r>
      <w:r w:rsidRPr="00472F38">
        <w:t xml:space="preserve"> Virksomheder, der importerer frø og kogler til Danmark samt virksomheder, der handler frø og planter i Danmark, kan søge om at tilmelde sig ordningen ved at orientere </w:t>
      </w:r>
      <w:r>
        <w:t>styrelsen</w:t>
      </w:r>
      <w:r w:rsidRPr="00472F38">
        <w:t xml:space="preserve">, jf. </w:t>
      </w:r>
      <w:bookmarkStart w:id="0" w:name="_GoBack"/>
      <w:r w:rsidR="00310943">
        <w:t>blanket</w:t>
      </w:r>
      <w:bookmarkEnd w:id="0"/>
      <w:r w:rsidRPr="00472F38">
        <w:t xml:space="preserve"> 1. Ved ansøgning om tilmelding skal virksomheden oplyse, om der udelukkende er aktiviteter i Danmark, eller der også importeres frø og kogler. Virksomheden skal ligeledes oplyse, at den er bekendt med de priser, </w:t>
      </w:r>
      <w:r>
        <w:t>Styrelsen</w:t>
      </w:r>
      <w:r w:rsidRPr="00472F38">
        <w:t xml:space="preserve"> vil opkræve for ydelser, der knytter sig ordningen, jf. bilag 3.</w:t>
      </w:r>
    </w:p>
    <w:p w:rsidR="001E2C41" w:rsidRPr="00472F38" w:rsidRDefault="001E2C41" w:rsidP="003566A3">
      <w:pPr>
        <w:spacing w:before="120" w:after="120" w:line="288" w:lineRule="auto"/>
      </w:pPr>
      <w:r w:rsidRPr="00472F38">
        <w:t xml:space="preserve">Stk. 2. Tilmelding dækker perioder fra 1. august til 31. juli det følgende år og er gældende, indtil virksomheden udmelder sig. Dog kan </w:t>
      </w:r>
      <w:r>
        <w:t>styrelsen</w:t>
      </w:r>
      <w:r w:rsidRPr="00472F38">
        <w:t xml:space="preserve"> udmelde virksomheden, jf. pkt. 2, stk. 3.</w:t>
      </w:r>
    </w:p>
    <w:p w:rsidR="001E2C41" w:rsidRPr="00472F38" w:rsidRDefault="001E2C41" w:rsidP="003566A3">
      <w:pPr>
        <w:spacing w:before="120" w:after="120" w:line="288" w:lineRule="auto"/>
      </w:pPr>
      <w:r w:rsidRPr="00472F38">
        <w:t xml:space="preserve">Stk. 3.  </w:t>
      </w:r>
      <w:r>
        <w:t>Styrelsen</w:t>
      </w:r>
      <w:r w:rsidRPr="00472F38">
        <w:t xml:space="preserve"> meddeler virksomheden, at den er tilmeldt ved at sende en e-mail med en bekræftelse samt et link til </w:t>
      </w:r>
      <w:r>
        <w:t>styrelsen</w:t>
      </w:r>
      <w:r w:rsidRPr="00472F38">
        <w:t>s liste over tilmeldte virksomheder.</w:t>
      </w:r>
    </w:p>
    <w:p w:rsidR="001E2C41" w:rsidRPr="00472F38" w:rsidRDefault="001E2C41" w:rsidP="003566A3">
      <w:pPr>
        <w:spacing w:before="120" w:after="120" w:line="288" w:lineRule="auto"/>
      </w:pPr>
      <w:r w:rsidRPr="00472F38">
        <w:t xml:space="preserve">Stk.4. </w:t>
      </w:r>
      <w:r>
        <w:t>Styrelsen</w:t>
      </w:r>
      <w:r w:rsidRPr="00472F38">
        <w:t xml:space="preserve"> kan meddele tilmeldte virksomheder, at de fra en given dato ikke længere er tilmeldt, hvis </w:t>
      </w:r>
      <w:r>
        <w:t>styrelsen</w:t>
      </w:r>
      <w:r w:rsidRPr="00472F38">
        <w:t xml:space="preserve"> finder, at virksomheden ikke overholder væsentlige dele af retningslinjerne for ordningen, eller hvis virksomheden ikke efter en påmindelse betaler udestående priser knyttet til ordningen.</w:t>
      </w:r>
    </w:p>
    <w:p w:rsidR="001E2C41" w:rsidRPr="00472F38" w:rsidRDefault="001E2C41" w:rsidP="003566A3">
      <w:pPr>
        <w:spacing w:before="120" w:after="120" w:line="288" w:lineRule="auto"/>
      </w:pPr>
      <w:r w:rsidRPr="003566A3">
        <w:rPr>
          <w:b/>
        </w:rPr>
        <w:t>Pkt. 3.</w:t>
      </w:r>
      <w:r w:rsidRPr="00472F38">
        <w:t xml:space="preserve"> Virksomheder, der søger om tilmelding som importører af frø, skal, sammen med </w:t>
      </w:r>
      <w:r w:rsidR="00310943">
        <w:t>blanket</w:t>
      </w:r>
      <w:r w:rsidRPr="00472F38">
        <w:t xml:space="preserve"> 1, sende en bekræftelse fra en akkrediteret auditeringsvirksomhed på, at auditeringsvirksomheden har gennemgået virksomhedens kvalitetshåndbog og finder, at kravene i bilag 1 er opfyldt, samt at auditeringsvirksomheden vil foretage audit af virksomhedens egenkontrol samt stikprøvevis kontrol af virksomhedens aktiviteter det første høstår, jf. </w:t>
      </w:r>
      <w:r w:rsidR="00310943">
        <w:t>blanket</w:t>
      </w:r>
      <w:r w:rsidRPr="00472F38">
        <w:t xml:space="preserve"> 2.</w:t>
      </w:r>
    </w:p>
    <w:p w:rsidR="001E2C41" w:rsidRPr="00472F38" w:rsidRDefault="001E2C41" w:rsidP="003566A3">
      <w:pPr>
        <w:spacing w:before="120" w:after="120" w:line="288" w:lineRule="auto"/>
      </w:pPr>
      <w:r w:rsidRPr="00472F38">
        <w:lastRenderedPageBreak/>
        <w:t xml:space="preserve">Stk. 2. Kvalitetshåndbogen skal fremsendes til </w:t>
      </w:r>
      <w:r>
        <w:t>styrelsen</w:t>
      </w:r>
      <w:r w:rsidRPr="00472F38">
        <w:t xml:space="preserve"> sammen med </w:t>
      </w:r>
      <w:r w:rsidR="00310943">
        <w:t>blanket</w:t>
      </w:r>
      <w:r w:rsidRPr="00472F38">
        <w:t xml:space="preserve"> 1, så </w:t>
      </w:r>
      <w:r>
        <w:t>styrelsen</w:t>
      </w:r>
      <w:r w:rsidRPr="00472F38">
        <w:t xml:space="preserve"> ligeledes kan vurdere, om kravene i bilag 1 er overholdt forud for tilmeldingen.</w:t>
      </w:r>
    </w:p>
    <w:p w:rsidR="001E2C41" w:rsidRPr="00472F38" w:rsidRDefault="001E2C41" w:rsidP="003566A3">
      <w:pPr>
        <w:spacing w:before="120" w:after="120" w:line="288" w:lineRule="auto"/>
        <w:rPr>
          <w:i/>
        </w:rPr>
      </w:pPr>
      <w:r w:rsidRPr="00472F38">
        <w:rPr>
          <w:i/>
        </w:rPr>
        <w:t>Dokumentation for kontrol inden import</w:t>
      </w:r>
    </w:p>
    <w:p w:rsidR="001E2C41" w:rsidRPr="00472F38" w:rsidRDefault="001E2C41" w:rsidP="003566A3">
      <w:pPr>
        <w:spacing w:before="120" w:after="120" w:line="288" w:lineRule="auto"/>
      </w:pPr>
      <w:r w:rsidRPr="003566A3">
        <w:rPr>
          <w:b/>
        </w:rPr>
        <w:t>Pkt. 4.</w:t>
      </w:r>
      <w:r w:rsidRPr="00472F38">
        <w:t xml:space="preserve"> Virksomheder, der er tilmeldt den aftalebaserede kvalitetsordning som importører af frø og kogler, skal have en kvalitetshåndbog med en beskrivelse af, hvorledes identiteten af frøet sikres fra høst til import. Kvalitetsbogen skal holdes løbende opdateret. Kvalitetshåndbogen skal indeholde beskrivelse af: a)</w:t>
      </w:r>
      <w:r w:rsidR="0080139B">
        <w:t xml:space="preserve"> </w:t>
      </w:r>
      <w:r w:rsidRPr="00472F38">
        <w:t xml:space="preserve">virksomhedens egenkontrol, b) ekstern audit af virksomhedens egenkontrol udført af en </w:t>
      </w:r>
      <w:r w:rsidRPr="00472F38">
        <w:rPr>
          <w:color w:val="000000" w:themeColor="text1"/>
        </w:rPr>
        <w:t>akkrediteret auditeringsvirksomhed samt c) auditeringsvirksomhedens stikprøvevise kontrol af virksomhedens indsamling og opbevaring af frø og kogler i høstlandet</w:t>
      </w:r>
      <w:r w:rsidRPr="00472F38">
        <w:t>. Ekstern audit kan erstattes af en dansk økologigodkendelse af frøet, jf. bilag 1.</w:t>
      </w:r>
    </w:p>
    <w:p w:rsidR="001E2C41" w:rsidRPr="00472F38" w:rsidRDefault="001E2C41" w:rsidP="003566A3">
      <w:pPr>
        <w:spacing w:before="120" w:after="120" w:line="288" w:lineRule="auto"/>
      </w:pPr>
      <w:r w:rsidRPr="00472F38">
        <w:t xml:space="preserve">Stk. 2. </w:t>
      </w:r>
      <w:r>
        <w:t>Styrelsen</w:t>
      </w:r>
      <w:r w:rsidRPr="00472F38">
        <w:t>s retningslinjer for krav til virksomhedens kvalitetshåndbog og kvalitetskontrol, ekstern audit samt ekstern stikprøvevis kontrol, fremgår af bilag 1.</w:t>
      </w:r>
    </w:p>
    <w:p w:rsidR="001E2C41" w:rsidRPr="00472F38" w:rsidRDefault="001E2C41" w:rsidP="003566A3">
      <w:pPr>
        <w:spacing w:before="120" w:after="120" w:line="288" w:lineRule="auto"/>
      </w:pPr>
      <w:r w:rsidRPr="00472F38">
        <w:t xml:space="preserve">Stk. 3. Virksomheder, der er tilmeldt som importører, skal hvert høstår og forud for registrering af partier i dette høstår anmode en akkrediteret auditeringsvirksomhed om at bekræfte over for </w:t>
      </w:r>
      <w:r>
        <w:t>styrelsen</w:t>
      </w:r>
      <w:r w:rsidRPr="00472F38">
        <w:t xml:space="preserve">, at: a) virksomhedens kvalitetshåndbog overholder kravene i bilag 1, b) der er dokumentation for virksomhedens egenkontrol, c) der er udført ekstern audit og d) auditeringsvirksomheden har udført stikprøvevis kontrol som beskrevet i kvalitetshåndbogen. Auditeringsvirksomheden skal bekræfte dette ved at udfylde </w:t>
      </w:r>
      <w:r w:rsidR="00310943">
        <w:t>blanket</w:t>
      </w:r>
      <w:r w:rsidRPr="00472F38">
        <w:t xml:space="preserve"> 2 og sende det til </w:t>
      </w:r>
      <w:r>
        <w:t>styrelsen</w:t>
      </w:r>
      <w:r w:rsidRPr="00472F38">
        <w:t xml:space="preserve">. </w:t>
      </w:r>
    </w:p>
    <w:p w:rsidR="001E2C41" w:rsidRPr="00472F38" w:rsidRDefault="001E2C41" w:rsidP="003566A3">
      <w:pPr>
        <w:spacing w:before="120" w:after="120" w:line="288" w:lineRule="auto"/>
      </w:pPr>
      <w:r w:rsidRPr="00472F38">
        <w:t xml:space="preserve">Stk. 4. Hvis auditeringsvirksomheden ved ekstern audit konstaterer afvigelser, skal auditeringsvirksomheden meddele </w:t>
      </w:r>
      <w:r>
        <w:t>styrelsen</w:t>
      </w:r>
      <w:r w:rsidRPr="00472F38">
        <w:t xml:space="preserve"> om afvigelserne er kritiske, af væsentlig karakter eller af ikke-væsentlig karakter, jf. bilag 1 og </w:t>
      </w:r>
      <w:r w:rsidR="00310943">
        <w:t>blanket</w:t>
      </w:r>
      <w:r w:rsidRPr="00472F38">
        <w:t xml:space="preserve"> 2. Tilsvarende skal auditeringsvirksomheden orientere </w:t>
      </w:r>
      <w:r>
        <w:t>styrelsen</w:t>
      </w:r>
      <w:r w:rsidRPr="00472F38">
        <w:t xml:space="preserve">, hvis der ved stikprøvekontrollen findes fejl eller mangler, der giver anledning til, at frøet ikke kan registreres, jf. bilag 1. Meddelelse skal ske sammen med indsendelse af </w:t>
      </w:r>
      <w:r w:rsidR="00310943">
        <w:t>blanket</w:t>
      </w:r>
      <w:r w:rsidRPr="00472F38">
        <w:t xml:space="preserve"> 2 for det pågældende høstår.</w:t>
      </w:r>
    </w:p>
    <w:p w:rsidR="001E2C41" w:rsidRPr="00472F38" w:rsidRDefault="001E2C41" w:rsidP="003566A3">
      <w:pPr>
        <w:spacing w:before="120" w:after="120" w:line="288" w:lineRule="auto"/>
      </w:pPr>
      <w:r w:rsidRPr="00472F38">
        <w:t xml:space="preserve">Stk. 5. Auditeringsvirksomhedens bekræftelse og evt. meddelelser til </w:t>
      </w:r>
      <w:r>
        <w:t>styrelsen</w:t>
      </w:r>
      <w:r w:rsidRPr="00472F38">
        <w:t xml:space="preserve"> for det pågældende høstår skal være modtaget hos </w:t>
      </w:r>
      <w:r>
        <w:t>styrelsen</w:t>
      </w:r>
      <w:r w:rsidRPr="00472F38">
        <w:t xml:space="preserve">, før </w:t>
      </w:r>
      <w:r>
        <w:t>styrelsen</w:t>
      </w:r>
      <w:r w:rsidRPr="00472F38">
        <w:t xml:space="preserve"> kan registrere importerede frøpartier fra virksomheden det pågældende høstår.</w:t>
      </w:r>
    </w:p>
    <w:p w:rsidR="001E2C41" w:rsidRPr="00472F38" w:rsidRDefault="001E2C41" w:rsidP="003566A3">
      <w:pPr>
        <w:spacing w:before="120" w:after="120" w:line="288" w:lineRule="auto"/>
        <w:rPr>
          <w:i/>
        </w:rPr>
      </w:pPr>
      <w:r w:rsidRPr="00472F38">
        <w:rPr>
          <w:i/>
        </w:rPr>
        <w:t>Importkontrol</w:t>
      </w:r>
    </w:p>
    <w:p w:rsidR="001E2C41" w:rsidRPr="00472F38" w:rsidRDefault="001E2C41" w:rsidP="003566A3">
      <w:pPr>
        <w:spacing w:before="120" w:after="120" w:line="288" w:lineRule="auto"/>
      </w:pPr>
      <w:r w:rsidRPr="003566A3">
        <w:rPr>
          <w:b/>
        </w:rPr>
        <w:t>Pkt. 5.</w:t>
      </w:r>
      <w:r w:rsidRPr="00472F38">
        <w:t xml:space="preserve"> Import skal anmeldes til </w:t>
      </w:r>
      <w:r>
        <w:t>styrelsen</w:t>
      </w:r>
      <w:r w:rsidRPr="00472F38">
        <w:t xml:space="preserve"> mindst 48 timer forud for importen. Anmeldelsen skal ske på en blanket, jf. </w:t>
      </w:r>
      <w:r w:rsidR="00310943">
        <w:t>blanket</w:t>
      </w:r>
      <w:r w:rsidRPr="00472F38">
        <w:t xml:space="preserve"> 3, der sendes til </w:t>
      </w:r>
      <w:r>
        <w:t>styrelsen</w:t>
      </w:r>
      <w:r w:rsidRPr="00472F38">
        <w:t xml:space="preserve">s Importvagt. </w:t>
      </w:r>
    </w:p>
    <w:p w:rsidR="001E2C41" w:rsidRPr="00472F38" w:rsidRDefault="001E2C41" w:rsidP="003566A3">
      <w:pPr>
        <w:spacing w:before="120" w:after="120" w:line="288" w:lineRule="auto"/>
      </w:pPr>
      <w:r w:rsidRPr="00472F38">
        <w:t>Stk. 2. Importerede partier skal være forseglede og mærkede med unik identifikation, som beskrevet i virksomhedens kvalitetshåndbog.</w:t>
      </w:r>
    </w:p>
    <w:p w:rsidR="001E2C41" w:rsidRPr="00472F38" w:rsidRDefault="001E2C41" w:rsidP="003566A3">
      <w:pPr>
        <w:spacing w:before="120" w:after="120" w:line="288" w:lineRule="auto"/>
      </w:pPr>
      <w:r w:rsidRPr="00472F38">
        <w:t xml:space="preserve">Stk.3. </w:t>
      </w:r>
      <w:r>
        <w:t>Styrelsen</w:t>
      </w:r>
      <w:r w:rsidRPr="00472F38">
        <w:t xml:space="preserve"> foretager kontrol af partiet, herunder mængde, forsegling og mærkning hos importøren. Forsegling må ikke brydes, før der er foretaget importkontrol.</w:t>
      </w:r>
    </w:p>
    <w:p w:rsidR="001E2C41" w:rsidRPr="00472F38" w:rsidRDefault="001E2C41" w:rsidP="003566A3">
      <w:pPr>
        <w:spacing w:before="120" w:after="120" w:line="288" w:lineRule="auto"/>
      </w:pPr>
      <w:r w:rsidRPr="00472F38">
        <w:t xml:space="preserve">Stk. 4. </w:t>
      </w:r>
      <w:r>
        <w:t>Styrelsen</w:t>
      </w:r>
      <w:r w:rsidRPr="00472F38">
        <w:t xml:space="preserve"> informerer virksomheden om udfaldet af importkontrollen i forbindelse med kontrollen, jf. </w:t>
      </w:r>
      <w:r w:rsidR="00310943">
        <w:t>blanket</w:t>
      </w:r>
      <w:r w:rsidRPr="00472F38">
        <w:t xml:space="preserve"> 4. </w:t>
      </w:r>
      <w:r>
        <w:t>Styrelsen</w:t>
      </w:r>
      <w:r w:rsidRPr="00472F38">
        <w:t xml:space="preserve"> meddeler virksomheden, at partiet er registreret, ved at sende en e-mail med en bekræftelse samt et link til </w:t>
      </w:r>
      <w:r>
        <w:t>styrelsen</w:t>
      </w:r>
      <w:r w:rsidRPr="00472F38">
        <w:t>s liste over registrerede partier.</w:t>
      </w:r>
    </w:p>
    <w:p w:rsidR="001E2C41" w:rsidRPr="00472F38" w:rsidRDefault="001E2C41" w:rsidP="003566A3">
      <w:pPr>
        <w:spacing w:before="120" w:after="120" w:line="288" w:lineRule="auto"/>
        <w:rPr>
          <w:i/>
        </w:rPr>
      </w:pPr>
      <w:r w:rsidRPr="00472F38">
        <w:rPr>
          <w:i/>
        </w:rPr>
        <w:t>Kontrol med handel i Danmark</w:t>
      </w:r>
    </w:p>
    <w:p w:rsidR="001E2C41" w:rsidRPr="00472F38" w:rsidRDefault="001E2C41" w:rsidP="003566A3">
      <w:pPr>
        <w:spacing w:before="120" w:after="120" w:line="288" w:lineRule="auto"/>
      </w:pPr>
      <w:r w:rsidRPr="003566A3">
        <w:rPr>
          <w:b/>
        </w:rPr>
        <w:t>Pkt. 6.</w:t>
      </w:r>
      <w:r w:rsidRPr="00472F38">
        <w:t xml:space="preserve"> Tilmeldte virksomheder skal føre regnskab med overdragelse/handel med og håndtering af registrerede partier både de, der er omfattet af den aftalebaserede ordning og de partier/dele af partier, der ikke er omfattet af ordningen. Såfremt der kasseres hele eller dele af et registreret parti, skal det fremgå af regnskabet. </w:t>
      </w:r>
    </w:p>
    <w:p w:rsidR="001E2C41" w:rsidRPr="00472F38" w:rsidRDefault="001E2C41" w:rsidP="003566A3">
      <w:pPr>
        <w:spacing w:before="120" w:after="120" w:line="288" w:lineRule="auto"/>
      </w:pPr>
      <w:r w:rsidRPr="00472F38">
        <w:lastRenderedPageBreak/>
        <w:t>Stk. 2. Ved oprensning af kogler og frøpartier, skal det fremgå, hvor stor en vægtmængde der er kasseret.</w:t>
      </w:r>
    </w:p>
    <w:p w:rsidR="001E2C41" w:rsidRPr="00472F38" w:rsidRDefault="001E2C41" w:rsidP="003566A3">
      <w:pPr>
        <w:spacing w:before="120" w:after="120" w:line="288" w:lineRule="auto"/>
      </w:pPr>
      <w:r w:rsidRPr="00472F38">
        <w:t>Ved udsåning af frø skal det resulterende omtrentlige planteantal i marken noteres, og ved omplantning skal det fremgå, hvor stor en del af partiet, der er kasseret. Der skal således foreligge en opdateret lageropgørelse over registrerede partier hos hver tilmeldt virksomhed.</w:t>
      </w:r>
    </w:p>
    <w:p w:rsidR="001E2C41" w:rsidRPr="00472F38" w:rsidRDefault="001E2C41" w:rsidP="003566A3">
      <w:pPr>
        <w:spacing w:before="120" w:after="120" w:line="288" w:lineRule="auto"/>
      </w:pPr>
      <w:r w:rsidRPr="00472F38">
        <w:t xml:space="preserve">Stk. 3. </w:t>
      </w:r>
      <w:r>
        <w:t>Styrelsen</w:t>
      </w:r>
      <w:r w:rsidRPr="00472F38">
        <w:t xml:space="preserve"> udfører stikprøvekontrol i perioden 1. august til 31. juli hos tilmeldte virksomheder. Hos frøhandlere er lagerbeholdning, mærkning og dokumentation omfattet af kontrollen. Hos plantehandlere er lagerbeholdning, mærkning og dokumentation, herunder markbog med arealangivelser omfattet af kontrollen.</w:t>
      </w:r>
    </w:p>
    <w:p w:rsidR="001E2C41" w:rsidRPr="00472F38" w:rsidRDefault="001E2C41" w:rsidP="003566A3">
      <w:pPr>
        <w:spacing w:before="120" w:after="120" w:line="288" w:lineRule="auto"/>
      </w:pPr>
      <w:r w:rsidRPr="00472F38">
        <w:t>Stk. 4. Såfremt tilmeldte virksomheder, ud over frø/planter, der er registreret og omfattet af den aftalebaserede kvalitetsordning, også handler eller opbevarer frø/planter af samme art, men som ikke er omfattet af ordningen kan dette materiale og dokumentation herfor også inddrages i kontrollen på den tilmeldte virksomhed. Frø/planter, der ikke er omfattet af den aftalebaserede ordning, kan f.eks. være: a) OECD-certificerede frø/planter, b) frø/planter, der tidligere har været, men ikke længere er, omfattet af den aftalebaserede ordning, eller c) frø/planter, der ikke har været omfattet af nogen af disse ordninger.</w:t>
      </w:r>
    </w:p>
    <w:p w:rsidR="001E2C41" w:rsidRPr="00472F38" w:rsidRDefault="001E2C41" w:rsidP="003566A3">
      <w:pPr>
        <w:spacing w:before="120" w:after="120" w:line="288" w:lineRule="auto"/>
        <w:rPr>
          <w:i/>
        </w:rPr>
      </w:pPr>
      <w:r w:rsidRPr="00472F38">
        <w:rPr>
          <w:i/>
        </w:rPr>
        <w:t>Krav til frø og planter, der er registreret efter og omfattet af den aftalebaserede kvalitetsordning</w:t>
      </w:r>
    </w:p>
    <w:p w:rsidR="001E2C41" w:rsidRPr="00472F38" w:rsidRDefault="001E2C41" w:rsidP="003566A3">
      <w:pPr>
        <w:spacing w:before="120" w:after="120" w:line="288" w:lineRule="auto"/>
      </w:pPr>
      <w:r w:rsidRPr="003566A3">
        <w:rPr>
          <w:b/>
        </w:rPr>
        <w:t>Pkt. 7.</w:t>
      </w:r>
      <w:r w:rsidRPr="00472F38">
        <w:t xml:space="preserve"> Frø og planter, der er registreret efter og omfattet af kvalitetsordningen, skal opfylde kravene for materiale af kategorien udvalgt, jf. bekendtgørelse </w:t>
      </w:r>
      <w:r w:rsidR="00473F7F" w:rsidRPr="00472F38">
        <w:t xml:space="preserve">nr. </w:t>
      </w:r>
      <w:r w:rsidR="00473F7F">
        <w:t>596</w:t>
      </w:r>
      <w:r w:rsidR="00473F7F" w:rsidRPr="00472F38">
        <w:t xml:space="preserve"> af </w:t>
      </w:r>
      <w:r w:rsidR="00473F7F">
        <w:t>31</w:t>
      </w:r>
      <w:r w:rsidR="00473F7F" w:rsidRPr="00472F38">
        <w:t xml:space="preserve">. </w:t>
      </w:r>
      <w:r w:rsidR="00473F7F">
        <w:t>maj 2017</w:t>
      </w:r>
      <w:r w:rsidR="00473F7F" w:rsidRPr="00472F38">
        <w:t xml:space="preserve"> om skovfrø og </w:t>
      </w:r>
      <w:r w:rsidR="00473F7F">
        <w:t>-</w:t>
      </w:r>
      <w:r w:rsidR="00473F7F" w:rsidRPr="00472F38">
        <w:t xml:space="preserve">planter </w:t>
      </w:r>
      <w:r w:rsidRPr="00472F38">
        <w:t>bilag 5, pkt. 4, nr. 13 samt bilag 7, nr. 1, 2 og 3.</w:t>
      </w:r>
    </w:p>
    <w:p w:rsidR="001E2C41" w:rsidRPr="00472F38" w:rsidRDefault="001E2C41" w:rsidP="003566A3">
      <w:pPr>
        <w:spacing w:before="120" w:after="120" w:line="288" w:lineRule="auto"/>
      </w:pPr>
      <w:r w:rsidRPr="00472F38">
        <w:t>Stk. 2. Frø skal markedsføres i mærkede og forseglede enheder og skal ved transport i eller mellem virksomheder være i mærkede og forseglede enheder. Planter skal være tydeligt mærkede og klart afgrænsede fra ikke omfattede planter og fra omfattede planter med andet registreringsnummer. Tilmeldte virksomheder kan mærke registrerede og omfattede frø/planter efter retningslinjerne i bilag 2.</w:t>
      </w:r>
    </w:p>
    <w:p w:rsidR="001E2C41" w:rsidRPr="00472F38" w:rsidRDefault="003566A3" w:rsidP="003566A3">
      <w:pPr>
        <w:spacing w:before="120" w:after="120" w:line="288" w:lineRule="auto"/>
      </w:pPr>
      <w:r>
        <w:t xml:space="preserve">Stk. </w:t>
      </w:r>
      <w:r w:rsidR="001E2C41" w:rsidRPr="00472F38">
        <w:t>3. Såfremt, der på en tilmeldt virksomhed findes frø eller planter med samme registreringsnummer, og som er henholdsvis omfattet og ikke omfattet af denne ordning, skal den tilmeldte virksomhed klart adskille materialet og føre regnskab for hver af de to kategorier.</w:t>
      </w:r>
    </w:p>
    <w:p w:rsidR="001E2C41" w:rsidRPr="00472F38" w:rsidRDefault="001E2C41" w:rsidP="003566A3">
      <w:pPr>
        <w:spacing w:before="120" w:after="120" w:line="288" w:lineRule="auto"/>
      </w:pPr>
      <w:r w:rsidRPr="00472F38">
        <w:t xml:space="preserve">Stk. 4. </w:t>
      </w:r>
      <w:r>
        <w:t>Styrelsen</w:t>
      </w:r>
      <w:r w:rsidRPr="00472F38">
        <w:t xml:space="preserve"> kan meddele en tilmeldt virksomhed, at et parti eller dele af et parti, der indgår i virksomhedens lager, ikke fortsat kan være omfattet af denne ordning, såfremt det fremgår, at frø eller planter ikke overholder kravene til registrerede partier omfattet af den aftalebaserede kvalitets-ordning.</w:t>
      </w:r>
    </w:p>
    <w:p w:rsidR="001E2C41" w:rsidRPr="00472F38" w:rsidRDefault="001E2C41" w:rsidP="003566A3">
      <w:pPr>
        <w:spacing w:before="120" w:after="120" w:line="288" w:lineRule="auto"/>
        <w:rPr>
          <w:i/>
        </w:rPr>
      </w:pPr>
      <w:r w:rsidRPr="00472F38">
        <w:rPr>
          <w:i/>
        </w:rPr>
        <w:t>Offentliggørelse</w:t>
      </w:r>
    </w:p>
    <w:p w:rsidR="001E2C41" w:rsidRPr="00472F38" w:rsidRDefault="001E2C41" w:rsidP="003566A3">
      <w:pPr>
        <w:spacing w:before="120" w:after="120" w:line="288" w:lineRule="auto"/>
      </w:pPr>
      <w:r w:rsidRPr="003566A3">
        <w:rPr>
          <w:b/>
        </w:rPr>
        <w:t>Pkt. 8.</w:t>
      </w:r>
      <w:r w:rsidRPr="00472F38">
        <w:t xml:space="preserve"> </w:t>
      </w:r>
      <w:r>
        <w:t>Styrelsen</w:t>
      </w:r>
      <w:r w:rsidRPr="00472F38">
        <w:t xml:space="preserve"> offentliggør en liste over tilmeldte virksomheder og en liste over registrerede, importerede frøpartier. Listerne offentliggøres på </w:t>
      </w:r>
      <w:r>
        <w:t>styrelsen</w:t>
      </w:r>
      <w:r w:rsidRPr="00472F38">
        <w:t>s hjemmeside. Listen over virksomheder indeholder for importører oplysning om, hvilken virksomhed der har auditeret virksomhedens aktiviteter i høstlandet i de enkelte høstår. Listen over registrerede, importerede frøpartier indeholder oplysning om det importerede partis størrelse og registreringsnummer. Det fremgår af registreringsnummeret, hvilken virksomhed der har importeret frøet, jf. bilag 1, pkt. h.</w:t>
      </w:r>
    </w:p>
    <w:p w:rsidR="001E2C41" w:rsidRPr="00472F38" w:rsidRDefault="001E2C41" w:rsidP="003566A3">
      <w:pPr>
        <w:spacing w:before="120" w:after="120" w:line="288" w:lineRule="auto"/>
      </w:pPr>
      <w:r w:rsidRPr="00472F38">
        <w:rPr>
          <w:i/>
        </w:rPr>
        <w:t>Betaling</w:t>
      </w:r>
    </w:p>
    <w:p w:rsidR="001E2C41" w:rsidRPr="00472F38" w:rsidRDefault="001E2C41" w:rsidP="003566A3">
      <w:pPr>
        <w:spacing w:before="120" w:after="120" w:line="288" w:lineRule="auto"/>
      </w:pPr>
      <w:r w:rsidRPr="003566A3">
        <w:rPr>
          <w:b/>
        </w:rPr>
        <w:t>Pkt. 9.</w:t>
      </w:r>
      <w:r w:rsidRPr="00472F38">
        <w:t xml:space="preserve"> </w:t>
      </w:r>
      <w:r>
        <w:t>Styrelsen</w:t>
      </w:r>
      <w:r w:rsidRPr="00472F38">
        <w:t xml:space="preserve"> opkræver betaling hos tilmeldte virksomheder for ydelser tilknyttet den aftalebaserede ordning, jf. bilag 3.</w:t>
      </w:r>
    </w:p>
    <w:p w:rsidR="001E2C41" w:rsidRPr="00472F38" w:rsidRDefault="001E2C41" w:rsidP="003566A3">
      <w:pPr>
        <w:spacing w:before="120" w:after="120" w:line="288" w:lineRule="auto"/>
      </w:pPr>
      <w:r w:rsidRPr="00472F38">
        <w:t xml:space="preserve">Stk. 2. Ved tilmelding opkræves en betaling, der dækker </w:t>
      </w:r>
      <w:r>
        <w:t>styrelsen</w:t>
      </w:r>
      <w:r w:rsidRPr="00472F38">
        <w:t xml:space="preserve">s behandling af virksomhedens ansøgning, herunder </w:t>
      </w:r>
      <w:r>
        <w:t>styrelsen</w:t>
      </w:r>
      <w:r w:rsidRPr="00472F38">
        <w:t xml:space="preserve">s vurdering af kvalitetshåndbog for importører. </w:t>
      </w:r>
    </w:p>
    <w:p w:rsidR="001E2C41" w:rsidRPr="00472F38" w:rsidRDefault="001E2C41" w:rsidP="003566A3">
      <w:pPr>
        <w:spacing w:before="120" w:after="120" w:line="288" w:lineRule="auto"/>
      </w:pPr>
      <w:r w:rsidRPr="00472F38">
        <w:t xml:space="preserve">Stk. 3. Ved fortsat tilmelding opkræves en årlig betaling for tilmelding, hvilket dækker fortsat tilmelding af en virksomhed i et høstår. Betalingen dækker </w:t>
      </w:r>
      <w:r>
        <w:t>styrelsen</w:t>
      </w:r>
      <w:r w:rsidRPr="00472F38">
        <w:t>s udgifter ved at opretholde kvalitetsordningen.</w:t>
      </w:r>
    </w:p>
    <w:p w:rsidR="001E2C41" w:rsidRPr="00472F38" w:rsidRDefault="001E2C41" w:rsidP="003566A3">
      <w:pPr>
        <w:spacing w:before="120" w:after="120" w:line="288" w:lineRule="auto"/>
      </w:pPr>
      <w:r w:rsidRPr="00472F38">
        <w:lastRenderedPageBreak/>
        <w:t xml:space="preserve">Stk. 3. Der opkræves betaling for importkontrol og registrering af et frøparti. Betalingen dækker </w:t>
      </w:r>
      <w:r>
        <w:t>styrelsen</w:t>
      </w:r>
      <w:r w:rsidRPr="00472F38">
        <w:t>s udgifter ved importkontrol og registrering af frøpartiet.</w:t>
      </w:r>
    </w:p>
    <w:p w:rsidR="001E2C41" w:rsidRPr="00472F38" w:rsidRDefault="001E2C41" w:rsidP="003566A3">
      <w:pPr>
        <w:spacing w:before="120" w:after="120" w:line="288" w:lineRule="auto"/>
      </w:pPr>
      <w:r w:rsidRPr="00472F38">
        <w:t xml:space="preserve">Stk. 4. Der opkræves betaling for kontrol med handel med registrerede partier, omfattet af den aftalebaserede ordning, af frø og planter i Danmark. Betalingen dækker </w:t>
      </w:r>
      <w:r>
        <w:t>styrelsen</w:t>
      </w:r>
      <w:r w:rsidRPr="00472F38">
        <w:t xml:space="preserve">s udgifter ved virksomhedskontrol, herunder kontrol af dokumentation, mærkning af partier samt lagerbeholdning. </w:t>
      </w:r>
    </w:p>
    <w:p w:rsidR="001E2C41" w:rsidRPr="00472F38" w:rsidRDefault="001E2C41" w:rsidP="003566A3">
      <w:pPr>
        <w:spacing w:before="120" w:after="120" w:line="288" w:lineRule="auto"/>
        <w:rPr>
          <w:i/>
        </w:rPr>
      </w:pPr>
      <w:r w:rsidRPr="00472F38">
        <w:rPr>
          <w:i/>
        </w:rPr>
        <w:t>Voldgift</w:t>
      </w:r>
    </w:p>
    <w:p w:rsidR="001E2C41" w:rsidRPr="00472F38" w:rsidRDefault="001E2C41" w:rsidP="003566A3">
      <w:pPr>
        <w:spacing w:before="120" w:after="120" w:line="288" w:lineRule="auto"/>
      </w:pPr>
      <w:r w:rsidRPr="00F71904">
        <w:rPr>
          <w:b/>
        </w:rPr>
        <w:t>Pkt. 10.</w:t>
      </w:r>
      <w:r w:rsidRPr="00472F38">
        <w:t xml:space="preserve"> Den aftalebaserede kvalitetsordning er undergivet dansk ret.</w:t>
      </w:r>
    </w:p>
    <w:p w:rsidR="001E2C41" w:rsidRPr="00472F38" w:rsidRDefault="001E2C41" w:rsidP="003566A3">
      <w:pPr>
        <w:spacing w:before="120" w:after="120" w:line="288" w:lineRule="auto"/>
      </w:pPr>
      <w:r w:rsidRPr="00472F38">
        <w:t>Såfremt der opstår uoverensstemmelse mellem parterne i forbindelse med kvalitetsordningen, er hver af parterne berettiget til at kræve uoverensstemmelsen afgjort endeligt ved voldgift. Voldgiftsaftalen indebærer ikke afkald på anvendelse af foreløbige retsmidler såsom arrest og forbud.</w:t>
      </w:r>
    </w:p>
    <w:p w:rsidR="001E2C41" w:rsidRPr="00472F38" w:rsidRDefault="001E2C41" w:rsidP="003566A3">
      <w:pPr>
        <w:spacing w:before="120" w:after="120" w:line="288" w:lineRule="auto"/>
      </w:pPr>
      <w:r w:rsidRPr="00472F38">
        <w:t>Voldgiftsretten sammensættes af tre medlemmer, der udpeges af præsidenten for Østre Landsret. Formanden for voldgiftsretten skal opfylde betingelserne for at være dommer. Parterne kan indgive indstilling om de to andre, der udpeges med passende hensyntagen til den særlige sagkundskab, der anses for ønskelig ved bedømmelsen af den uoverensstemmelse, der er indbragt for voldgiftsretten.</w:t>
      </w:r>
    </w:p>
    <w:p w:rsidR="001E2C41" w:rsidRPr="00472F38" w:rsidRDefault="001E2C41" w:rsidP="003566A3">
      <w:pPr>
        <w:spacing w:before="120" w:after="120" w:line="288" w:lineRule="auto"/>
      </w:pPr>
      <w:r w:rsidRPr="00472F38">
        <w:t>Såfremt der ikke er flertal for et resultat, er formandens stemme afgørende.</w:t>
      </w:r>
    </w:p>
    <w:p w:rsidR="001E2C41" w:rsidRPr="00472F38" w:rsidRDefault="001E2C41" w:rsidP="003566A3">
      <w:pPr>
        <w:spacing w:before="120" w:after="120" w:line="288" w:lineRule="auto"/>
      </w:pPr>
      <w:r w:rsidRPr="00472F38">
        <w:t>Voldgiftsretten fastsætter selv sin procedure. Voldgiftsrettens kendelse, som skal være motiveret, skal afsiges snarest muligt og inden et halvt år efter Voldgiftsrettens nedsættelse.</w:t>
      </w:r>
    </w:p>
    <w:p w:rsidR="001E2C41" w:rsidRPr="00472F38" w:rsidRDefault="001E2C41" w:rsidP="003566A3">
      <w:pPr>
        <w:spacing w:before="120" w:after="120" w:line="288" w:lineRule="auto"/>
      </w:pPr>
      <w:r w:rsidRPr="00472F38">
        <w:t xml:space="preserve">Voldgiftsrettens afgørelse er endelig. </w:t>
      </w:r>
    </w:p>
    <w:p w:rsidR="001E2C41" w:rsidRPr="00472F38" w:rsidRDefault="001E2C41" w:rsidP="003566A3">
      <w:pPr>
        <w:spacing w:before="120" w:after="120" w:line="288" w:lineRule="auto"/>
      </w:pPr>
      <w:r w:rsidRPr="00472F38">
        <w:t>I øvrigt gælder lov om voldgift.</w:t>
      </w:r>
    </w:p>
    <w:p w:rsidR="001E2C41" w:rsidRPr="00472F38" w:rsidRDefault="001E2C41" w:rsidP="003566A3">
      <w:pPr>
        <w:spacing w:before="120" w:after="120" w:line="288" w:lineRule="auto"/>
        <w:rPr>
          <w:i/>
        </w:rPr>
      </w:pPr>
      <w:r w:rsidRPr="00472F38">
        <w:rPr>
          <w:i/>
        </w:rPr>
        <w:t>Markedsføringsmæssigt misbrug</w:t>
      </w:r>
    </w:p>
    <w:p w:rsidR="001E2C41" w:rsidRPr="00472F38" w:rsidRDefault="001E2C41" w:rsidP="003566A3">
      <w:pPr>
        <w:spacing w:before="120" w:after="120" w:line="288" w:lineRule="auto"/>
        <w:rPr>
          <w:color w:val="000000" w:themeColor="text1"/>
        </w:rPr>
      </w:pPr>
      <w:r w:rsidRPr="00F71904">
        <w:rPr>
          <w:b/>
          <w:color w:val="000000" w:themeColor="text1"/>
        </w:rPr>
        <w:t>Pkt. 11.</w:t>
      </w:r>
      <w:r w:rsidRPr="00472F38">
        <w:rPr>
          <w:color w:val="000000" w:themeColor="text1"/>
        </w:rPr>
        <w:t xml:space="preserve"> Det er de tilmeldte virksomheder, der skal holde øje med og i givet fald skride ind over for markedsføringsmæssigt misbrug. </w:t>
      </w:r>
      <w:r>
        <w:rPr>
          <w:color w:val="000000" w:themeColor="text1"/>
        </w:rPr>
        <w:t>Styrelsen</w:t>
      </w:r>
      <w:r w:rsidRPr="00472F38">
        <w:rPr>
          <w:color w:val="000000" w:themeColor="text1"/>
        </w:rPr>
        <w:t xml:space="preserve"> vil, som aftalepartner i den aftalebaserede kvalitetsordning, støtte de retsskridt, som de deltagende virksomheder måtte iværksætte overfor et evt. misbrug.</w:t>
      </w:r>
    </w:p>
    <w:p w:rsidR="001E2C41" w:rsidRPr="00472F38" w:rsidRDefault="001E2C41" w:rsidP="003566A3">
      <w:pPr>
        <w:spacing w:before="120" w:after="120" w:line="288" w:lineRule="auto"/>
      </w:pPr>
      <w:r w:rsidRPr="00F71904">
        <w:rPr>
          <w:b/>
          <w:color w:val="000000" w:themeColor="text1"/>
        </w:rPr>
        <w:t>Pkt. 12.</w:t>
      </w:r>
      <w:r w:rsidRPr="00472F38">
        <w:rPr>
          <w:color w:val="000000" w:themeColor="text1"/>
        </w:rPr>
        <w:t xml:space="preserve"> </w:t>
      </w:r>
      <w:r>
        <w:t>Styrelsen</w:t>
      </w:r>
      <w:r w:rsidRPr="00472F38">
        <w:t xml:space="preserve"> kan nedlægge ordningen med udgangen af et høstår, f.eks. hvis der ikke er tilstrækkeligt økonomisk grundlag for at opretholde den.</w:t>
      </w:r>
    </w:p>
    <w:p w:rsidR="001E2C41" w:rsidRPr="00472F38" w:rsidRDefault="001E2C41" w:rsidP="003566A3">
      <w:pPr>
        <w:spacing w:before="120" w:after="120" w:line="288" w:lineRule="auto"/>
        <w:rPr>
          <w:color w:val="000000" w:themeColor="text1"/>
        </w:rPr>
      </w:pPr>
    </w:p>
    <w:p w:rsidR="001E2C41" w:rsidRPr="00472F38" w:rsidRDefault="001E2C41" w:rsidP="003566A3">
      <w:pPr>
        <w:spacing w:before="120" w:after="120" w:line="288" w:lineRule="auto"/>
        <w:rPr>
          <w:i/>
        </w:rPr>
      </w:pPr>
      <w:r w:rsidRPr="00472F38">
        <w:rPr>
          <w:i/>
        </w:rPr>
        <w:br w:type="page"/>
      </w:r>
    </w:p>
    <w:p w:rsidR="001E2C41" w:rsidRPr="00472F38" w:rsidRDefault="001E2C41" w:rsidP="003566A3">
      <w:pPr>
        <w:spacing w:before="120" w:after="120" w:line="288" w:lineRule="auto"/>
        <w:rPr>
          <w:b/>
        </w:rPr>
      </w:pPr>
      <w:r w:rsidRPr="00472F38">
        <w:rPr>
          <w:b/>
        </w:rPr>
        <w:lastRenderedPageBreak/>
        <w:t>Oversigt over bilag</w:t>
      </w:r>
      <w:r w:rsidR="00F71904">
        <w:rPr>
          <w:b/>
        </w:rPr>
        <w:t xml:space="preserve"> og </w:t>
      </w:r>
      <w:r w:rsidR="00310943">
        <w:rPr>
          <w:b/>
        </w:rPr>
        <w:t>blankett</w:t>
      </w:r>
      <w:r w:rsidR="00F71904">
        <w:rPr>
          <w:b/>
        </w:rPr>
        <w:t>er</w:t>
      </w:r>
      <w:r w:rsidRPr="00472F38">
        <w:rPr>
          <w:b/>
        </w:rPr>
        <w:t>:</w:t>
      </w:r>
    </w:p>
    <w:p w:rsidR="001E2C41" w:rsidRPr="00472F38" w:rsidRDefault="001E2C41" w:rsidP="003566A3">
      <w:pPr>
        <w:spacing w:before="120" w:after="120" w:line="288" w:lineRule="auto"/>
      </w:pPr>
    </w:p>
    <w:p w:rsidR="001E2C41" w:rsidRPr="00472F38" w:rsidRDefault="001E2C41" w:rsidP="003566A3">
      <w:pPr>
        <w:spacing w:before="120" w:after="120" w:line="288" w:lineRule="auto"/>
      </w:pPr>
      <w:r w:rsidRPr="00472F38">
        <w:t>Bilag 1</w:t>
      </w:r>
      <w:r w:rsidRPr="00472F38">
        <w:tab/>
      </w:r>
      <w:r w:rsidR="00473F7F">
        <w:t>Landbrugss</w:t>
      </w:r>
      <w:r>
        <w:t>tyrelsen</w:t>
      </w:r>
      <w:r w:rsidRPr="00472F38">
        <w:t>s krav ti</w:t>
      </w:r>
      <w:r w:rsidR="00743553">
        <w:t>l kvalitetskontrol i høstlandet</w:t>
      </w:r>
    </w:p>
    <w:p w:rsidR="001E2C41" w:rsidRPr="00472F38" w:rsidRDefault="001E2C41" w:rsidP="003566A3">
      <w:pPr>
        <w:spacing w:before="120" w:after="120" w:line="288" w:lineRule="auto"/>
      </w:pPr>
      <w:r w:rsidRPr="00472F38">
        <w:t>Bilag 2</w:t>
      </w:r>
      <w:r w:rsidRPr="00472F38">
        <w:tab/>
        <w:t>Mærkning af frø og planter, d</w:t>
      </w:r>
      <w:r w:rsidR="00743553">
        <w:t>er overdrages/handles i Danmark</w:t>
      </w:r>
    </w:p>
    <w:p w:rsidR="001E2C41" w:rsidRDefault="001E2C41" w:rsidP="003566A3">
      <w:pPr>
        <w:spacing w:before="120" w:after="120" w:line="288" w:lineRule="auto"/>
      </w:pPr>
      <w:r w:rsidRPr="00472F38">
        <w:t>Bilag 3</w:t>
      </w:r>
      <w:r w:rsidRPr="00472F38">
        <w:tab/>
      </w:r>
      <w:r w:rsidR="0080139B">
        <w:t>Priser</w:t>
      </w:r>
      <w:r w:rsidRPr="00472F38">
        <w:t xml:space="preserve"> for </w:t>
      </w:r>
      <w:r w:rsidR="00473F7F">
        <w:t>Landbrugss</w:t>
      </w:r>
      <w:r>
        <w:t>tyrelsen</w:t>
      </w:r>
      <w:r w:rsidRPr="00472F38">
        <w:t>s ydelser i forbindelse med den aftalebaser</w:t>
      </w:r>
      <w:r w:rsidR="00743553">
        <w:t>ede ordning</w:t>
      </w:r>
    </w:p>
    <w:p w:rsidR="00743553" w:rsidRDefault="00743553" w:rsidP="00743553">
      <w:pPr>
        <w:contextualSpacing/>
      </w:pPr>
      <w:r>
        <w:t>Bilagene er vedhæftet.</w:t>
      </w:r>
    </w:p>
    <w:p w:rsidR="00743553" w:rsidRDefault="00743553" w:rsidP="00743553">
      <w:pPr>
        <w:contextualSpacing/>
      </w:pPr>
    </w:p>
    <w:p w:rsidR="00743553" w:rsidRPr="00472F38" w:rsidRDefault="00743553" w:rsidP="00743553">
      <w:pPr>
        <w:contextualSpacing/>
      </w:pPr>
    </w:p>
    <w:p w:rsidR="00743553" w:rsidRPr="00472F38" w:rsidRDefault="00310943" w:rsidP="00743553">
      <w:pPr>
        <w:spacing w:before="120" w:after="120" w:line="288" w:lineRule="auto"/>
        <w:ind w:left="1304" w:hanging="1304"/>
        <w:contextualSpacing/>
      </w:pPr>
      <w:r>
        <w:t>Blanket</w:t>
      </w:r>
      <w:r w:rsidR="00743553" w:rsidRPr="00472F38">
        <w:t xml:space="preserve"> 1  </w:t>
      </w:r>
      <w:r w:rsidR="00743553" w:rsidRPr="00472F38">
        <w:tab/>
        <w:t xml:space="preserve">Tilmelding af virksomhed til den aftalebaserede kvalitetsordning for skovfrø af OECD-arter, administreret af </w:t>
      </w:r>
      <w:r w:rsidR="00743553">
        <w:t>Landbrugsstyrelsen</w:t>
      </w:r>
    </w:p>
    <w:p w:rsidR="00743553" w:rsidRPr="00472F38" w:rsidRDefault="00310943" w:rsidP="00743553">
      <w:pPr>
        <w:spacing w:before="120" w:after="120" w:line="288" w:lineRule="auto"/>
        <w:contextualSpacing/>
      </w:pPr>
      <w:r>
        <w:t>Blanket</w:t>
      </w:r>
      <w:r w:rsidR="00743553" w:rsidRPr="00472F38">
        <w:t xml:space="preserve"> 2  </w:t>
      </w:r>
      <w:r w:rsidR="00743553" w:rsidRPr="00472F38">
        <w:tab/>
        <w:t>Bekræftelse på udførelse a</w:t>
      </w:r>
      <w:r w:rsidR="00743553">
        <w:t>f kvalitetskontrol i høstlandet</w:t>
      </w:r>
    </w:p>
    <w:p w:rsidR="00743553" w:rsidRPr="00472F38" w:rsidRDefault="00310943" w:rsidP="00743553">
      <w:pPr>
        <w:spacing w:before="120" w:after="120" w:line="288" w:lineRule="auto"/>
        <w:ind w:left="1304" w:hanging="1304"/>
        <w:contextualSpacing/>
      </w:pPr>
      <w:r>
        <w:t>Blanket</w:t>
      </w:r>
      <w:r w:rsidR="00743553" w:rsidRPr="00472F38">
        <w:t xml:space="preserve"> 3  </w:t>
      </w:r>
      <w:r w:rsidR="00743553" w:rsidRPr="00472F38">
        <w:tab/>
        <w:t xml:space="preserve">Anmeldelse af import af frø, der ønskes registreret efter den aftalebaserede kvalitetsordning for skovfrø af OECD-arter, administreret af </w:t>
      </w:r>
      <w:r w:rsidR="00743553">
        <w:t>Landbrugsstyrelsen</w:t>
      </w:r>
    </w:p>
    <w:p w:rsidR="00743553" w:rsidRDefault="00310943" w:rsidP="00743553">
      <w:pPr>
        <w:spacing w:before="120" w:after="120" w:line="288" w:lineRule="auto"/>
        <w:contextualSpacing/>
      </w:pPr>
      <w:r>
        <w:t>Blanket</w:t>
      </w:r>
      <w:r w:rsidR="00743553" w:rsidRPr="00472F38">
        <w:t xml:space="preserve"> 4  </w:t>
      </w:r>
      <w:r w:rsidR="00743553" w:rsidRPr="00472F38">
        <w:tab/>
      </w:r>
      <w:r w:rsidR="00743553">
        <w:t>Landbrugs</w:t>
      </w:r>
      <w:r w:rsidR="00743553" w:rsidRPr="00472F38">
        <w:t>styrelsens kvittering for registrering af et importeret frøparti.</w:t>
      </w:r>
    </w:p>
    <w:p w:rsidR="00743553" w:rsidRDefault="00743553" w:rsidP="00743553">
      <w:pPr>
        <w:contextualSpacing/>
      </w:pPr>
    </w:p>
    <w:p w:rsidR="00743553" w:rsidRPr="00472F38" w:rsidRDefault="00310943" w:rsidP="00743553">
      <w:pPr>
        <w:contextualSpacing/>
      </w:pPr>
      <w:r>
        <w:t>Blanketterne</w:t>
      </w:r>
      <w:r w:rsidR="00743553">
        <w:t xml:space="preserve"> findes på styrelsens hjemmeside: </w:t>
      </w:r>
      <w:hyperlink r:id="rId7" w:history="1">
        <w:r w:rsidR="00743553" w:rsidRPr="00A5384C">
          <w:rPr>
            <w:rStyle w:val="Hyperlink"/>
          </w:rPr>
          <w:t>http://lbst.dk/virksomheder/skovbrug/herkomstkontrol-og-kaaring/aftalebaseret-ordning-for-skovfroe/</w:t>
        </w:r>
      </w:hyperlink>
    </w:p>
    <w:p w:rsidR="00F71904" w:rsidRPr="00472F38" w:rsidRDefault="00F71904" w:rsidP="003566A3">
      <w:pPr>
        <w:spacing w:before="120" w:after="120" w:line="288" w:lineRule="auto"/>
      </w:pPr>
    </w:p>
    <w:p w:rsidR="001E2C41" w:rsidRPr="00472F38" w:rsidRDefault="001E2C41" w:rsidP="003566A3">
      <w:pPr>
        <w:spacing w:before="120" w:after="120" w:line="288" w:lineRule="auto"/>
        <w:ind w:hanging="709"/>
      </w:pPr>
    </w:p>
    <w:p w:rsidR="001E2C41" w:rsidRPr="00472F38" w:rsidRDefault="001E2C41" w:rsidP="003566A3">
      <w:pPr>
        <w:spacing w:before="120" w:after="120" w:line="288" w:lineRule="auto"/>
      </w:pPr>
      <w:r w:rsidRPr="00472F38">
        <w:br w:type="page"/>
      </w:r>
    </w:p>
    <w:p w:rsidR="001E2C41" w:rsidRPr="00D12F78" w:rsidRDefault="001E2C41" w:rsidP="003566A3">
      <w:pPr>
        <w:spacing w:before="120" w:after="120" w:line="288" w:lineRule="auto"/>
        <w:rPr>
          <w:b/>
          <w:sz w:val="22"/>
          <w:szCs w:val="22"/>
        </w:rPr>
      </w:pPr>
      <w:r w:rsidRPr="00D12F78">
        <w:rPr>
          <w:b/>
          <w:sz w:val="22"/>
          <w:szCs w:val="22"/>
        </w:rPr>
        <w:lastRenderedPageBreak/>
        <w:t xml:space="preserve">Bilag 1. </w:t>
      </w:r>
      <w:r w:rsidR="00473F7F" w:rsidRPr="00D12F78">
        <w:rPr>
          <w:b/>
          <w:sz w:val="22"/>
          <w:szCs w:val="22"/>
        </w:rPr>
        <w:t>Landbrugss</w:t>
      </w:r>
      <w:r w:rsidRPr="00D12F78">
        <w:rPr>
          <w:b/>
          <w:sz w:val="22"/>
          <w:szCs w:val="22"/>
        </w:rPr>
        <w:t>tyrelsens krav ti</w:t>
      </w:r>
      <w:r w:rsidR="00D12F78">
        <w:rPr>
          <w:b/>
          <w:sz w:val="22"/>
          <w:szCs w:val="22"/>
        </w:rPr>
        <w:t>l kvalitetskontrol i høstlandet</w:t>
      </w:r>
    </w:p>
    <w:p w:rsidR="001E2C41" w:rsidRPr="00472F38" w:rsidRDefault="001E2C41" w:rsidP="003566A3">
      <w:pPr>
        <w:spacing w:before="120" w:after="120" w:line="288" w:lineRule="auto"/>
        <w:ind w:hanging="709"/>
      </w:pPr>
    </w:p>
    <w:p w:rsidR="001E2C41" w:rsidRPr="00472F38" w:rsidRDefault="001E2C41" w:rsidP="003566A3">
      <w:pPr>
        <w:spacing w:before="120" w:after="120" w:line="288" w:lineRule="auto"/>
      </w:pPr>
      <w:r w:rsidRPr="00472F38">
        <w:t xml:space="preserve">Virksomheder, der importerer frø, der ønskes omfattet af den aftalebaserede kvalitetsordning, skal have og dokumentere kvalitetskontrol i høstlandet, jf. ordningens pkt. 4. </w:t>
      </w:r>
    </w:p>
    <w:p w:rsidR="001E2C41" w:rsidRPr="00472F38" w:rsidRDefault="001E2C41" w:rsidP="003566A3">
      <w:pPr>
        <w:spacing w:before="120" w:after="120" w:line="288" w:lineRule="auto"/>
      </w:pPr>
      <w:r w:rsidRPr="00472F38">
        <w:t>Kvalitetskontrollen skal omfatte:</w:t>
      </w:r>
    </w:p>
    <w:p w:rsidR="001E2C41" w:rsidRPr="00472F38" w:rsidRDefault="001E2C41" w:rsidP="0080139B">
      <w:pPr>
        <w:pStyle w:val="Listeafsnit"/>
        <w:numPr>
          <w:ilvl w:val="0"/>
          <w:numId w:val="21"/>
        </w:numPr>
        <w:spacing w:before="120" w:after="120" w:line="288" w:lineRule="auto"/>
        <w:contextualSpacing w:val="0"/>
      </w:pPr>
      <w:r w:rsidRPr="00472F38">
        <w:t>Egenkontrol, forankret i en kvalitetshåndbog</w:t>
      </w:r>
    </w:p>
    <w:p w:rsidR="001E2C41" w:rsidRPr="00472F38" w:rsidRDefault="001E2C41" w:rsidP="0080139B">
      <w:pPr>
        <w:pStyle w:val="Listeafsnit"/>
        <w:numPr>
          <w:ilvl w:val="0"/>
          <w:numId w:val="21"/>
        </w:numPr>
        <w:spacing w:before="120" w:after="120" w:line="288" w:lineRule="auto"/>
        <w:contextualSpacing w:val="0"/>
      </w:pPr>
      <w:r w:rsidRPr="00472F38">
        <w:t>Ekstern audit af kvalitetssystemet, udført af en akkrediteret auditeringsvirksomhed</w:t>
      </w:r>
    </w:p>
    <w:p w:rsidR="001E2C41" w:rsidRPr="00472F38" w:rsidRDefault="001E2C41" w:rsidP="0080139B">
      <w:pPr>
        <w:pStyle w:val="Listeafsnit"/>
        <w:numPr>
          <w:ilvl w:val="0"/>
          <w:numId w:val="21"/>
        </w:numPr>
        <w:spacing w:before="120" w:after="120" w:line="288" w:lineRule="auto"/>
        <w:contextualSpacing w:val="0"/>
      </w:pPr>
      <w:r w:rsidRPr="00472F38">
        <w:t xml:space="preserve">Stikprøvevis kontrol af virksomhedens </w:t>
      </w:r>
      <w:r w:rsidRPr="00472F38">
        <w:rPr>
          <w:color w:val="000000" w:themeColor="text1"/>
        </w:rPr>
        <w:t>indsamling og opbevaring af frø og kogler i høstlandet</w:t>
      </w:r>
      <w:r w:rsidRPr="00472F38">
        <w:t>, udført af auditeringsvirksomheden.</w:t>
      </w:r>
    </w:p>
    <w:p w:rsidR="001E2C41" w:rsidRPr="00472F38" w:rsidRDefault="001E2C41" w:rsidP="003566A3">
      <w:pPr>
        <w:spacing w:before="120" w:after="120" w:line="288" w:lineRule="auto"/>
      </w:pPr>
      <w:r w:rsidRPr="00472F38">
        <w:t>Kvalitetshåndbogen skal beskrive alle relevante aktiviteter, der er af betydning for sikring af sporbarhed og identitet af frøene, fra udpegning af høstarealer til der kan udføres importkontrol hos importøren i Danmark. Virksomhedens egenkontrol skal omfatte registrering af alle aktiviteter i forbindelse med identifikation af høstarealet, høst af kogler, pakning og forsegling af kogler, transport af kogler, behandling af kogler og frø, pakning og forsegling af frø, evt. lagring af frø uden for Danmark, transport af frø indtil det når frem til den danske modtager. Der skal være stikprøvevis ekstern kontrol af disse aktiviteter, og kvalitetshåndbogen skal beskrive omfanget af og kravene til denne eksterne kontrol.</w:t>
      </w:r>
    </w:p>
    <w:p w:rsidR="001E2C41" w:rsidRPr="00472F38" w:rsidRDefault="001E2C41" w:rsidP="003566A3">
      <w:pPr>
        <w:spacing w:before="120" w:after="120" w:line="288" w:lineRule="auto"/>
      </w:pPr>
      <w:r w:rsidRPr="00472F38">
        <w:t>Ekstern audit kan erstattes af kontrol i høstlandet i forhold til den danske økologiordning, således at frø, der kan omsættes efter økologireglerne i Danmark, ved import også vil opfylde kravene til ekstern audit i forhold til den aftalebaserede ordning. I disse tilfælde skal virksomhedens kvalitetshåndbog godkendes af den akkrediterede auditeringsvirksomhed, der udfører audit i forhold til økologireglerne.</w:t>
      </w:r>
    </w:p>
    <w:p w:rsidR="001E2C41" w:rsidRDefault="001E2C41" w:rsidP="003566A3">
      <w:pPr>
        <w:spacing w:before="120" w:after="120" w:line="288" w:lineRule="auto"/>
      </w:pPr>
      <w:r w:rsidRPr="00472F38">
        <w:t xml:space="preserve">Kvalitetskontrollen skal omfatte: </w:t>
      </w:r>
    </w:p>
    <w:p w:rsidR="001E2C41" w:rsidRPr="00472F38" w:rsidRDefault="001E2C41" w:rsidP="0080139B">
      <w:pPr>
        <w:pStyle w:val="Listeafsnit"/>
        <w:numPr>
          <w:ilvl w:val="0"/>
          <w:numId w:val="22"/>
        </w:numPr>
        <w:spacing w:before="120" w:after="120" w:line="288" w:lineRule="auto"/>
        <w:contextualSpacing w:val="0"/>
      </w:pPr>
      <w:r w:rsidRPr="00472F38">
        <w:t>Høstarealet skal være klart identificeret, f.eks. ved GPS-koordinater. En oversigt over importørens potentielle høstarealer skal indgå i kvalitetsdokumenterne senest 1. juli, og oversigten skal stilles til rådighed for den eksterne kvalitetskontrol efter anmodning.</w:t>
      </w:r>
    </w:p>
    <w:p w:rsidR="001E2C41" w:rsidRPr="00472F38" w:rsidRDefault="001E2C41" w:rsidP="0080139B">
      <w:pPr>
        <w:pStyle w:val="Listeafsnit"/>
        <w:numPr>
          <w:ilvl w:val="0"/>
          <w:numId w:val="22"/>
        </w:numPr>
        <w:spacing w:before="120" w:after="120" w:line="288" w:lineRule="auto"/>
        <w:contextualSpacing w:val="0"/>
      </w:pPr>
      <w:r w:rsidRPr="00472F38">
        <w:t>Kogle/frøsætning skal estimeres i god tid inden påbegyndelse af høsten.</w:t>
      </w:r>
    </w:p>
    <w:p w:rsidR="001E2C41" w:rsidRPr="00472F38" w:rsidRDefault="001E2C41" w:rsidP="0080139B">
      <w:pPr>
        <w:pStyle w:val="Listeafsnit"/>
        <w:numPr>
          <w:ilvl w:val="0"/>
          <w:numId w:val="22"/>
        </w:numPr>
        <w:spacing w:before="120" w:after="120" w:line="288" w:lineRule="auto"/>
        <w:contextualSpacing w:val="0"/>
      </w:pPr>
      <w:r w:rsidRPr="00472F38">
        <w:t>Der skal foreligge en log for hvert parti og for hvert høstareal. Log for partierne skal indeholde op</w:t>
      </w:r>
      <w:r w:rsidR="0080139B">
        <w:t>lysning om: allokerede plukkere</w:t>
      </w:r>
      <w:r w:rsidRPr="00472F38">
        <w:t>/brigader, mængden af kogler</w:t>
      </w:r>
      <w:r w:rsidR="0080139B">
        <w:t>, indleveret til opsamlingssted/</w:t>
      </w:r>
      <w:r w:rsidRPr="00472F38">
        <w:t>kog</w:t>
      </w:r>
      <w:r w:rsidR="0080139B">
        <w:t>l</w:t>
      </w:r>
      <w:r w:rsidRPr="00472F38">
        <w:t>elade af de allokerede plukkere. Ved hver log-post skal der være mængde/areal angivelse og underskrift fra den ansvarlige for aktiviteten.</w:t>
      </w:r>
    </w:p>
    <w:p w:rsidR="001E2C41" w:rsidRPr="00472F38" w:rsidRDefault="001E2C41" w:rsidP="0080139B">
      <w:pPr>
        <w:pStyle w:val="Listeafsnit"/>
        <w:numPr>
          <w:ilvl w:val="0"/>
          <w:numId w:val="22"/>
        </w:numPr>
        <w:spacing w:before="120" w:after="120" w:line="288" w:lineRule="auto"/>
        <w:contextualSpacing w:val="0"/>
      </w:pPr>
      <w:r w:rsidRPr="00472F38">
        <w:t>Frø og kogler skal pakkes i forseglede og mærkede enheder ved transport og opbevaring. Forsegling skal udføres, så det fremgår, hvem der har udført forseglingen. Mærkning skal indeholde sikkerhedselementer eller –procedurer.  Pakning skal ske på en måde, så indholdet ikke kan udskiftes, uden at det kan ses. Hvor det giver en øget sikkerhed for identiteten, skal der føres regnskab med plomber, mærkesedler og pakkemateriale.</w:t>
      </w:r>
    </w:p>
    <w:p w:rsidR="001E2C41" w:rsidRPr="00472F38" w:rsidRDefault="001E2C41" w:rsidP="0080139B">
      <w:pPr>
        <w:pStyle w:val="Listeafsnit"/>
        <w:numPr>
          <w:ilvl w:val="0"/>
          <w:numId w:val="22"/>
        </w:numPr>
        <w:spacing w:before="120" w:after="120" w:line="288" w:lineRule="auto"/>
        <w:contextualSpacing w:val="0"/>
      </w:pPr>
      <w:r w:rsidRPr="00472F38">
        <w:t>Transport af kogler eller frø skal anmeldes til den eksterne kontrol mindst 48 timer før transporten påbegyndes. Alternativt skal der fastsættes anden mulighed for logning af transporten f.eks. GPS-chips i pakningsenhederne.</w:t>
      </w:r>
    </w:p>
    <w:p w:rsidR="001E2C41" w:rsidRPr="00472F38" w:rsidRDefault="001E2C41" w:rsidP="0080139B">
      <w:pPr>
        <w:pStyle w:val="Listeafsnit"/>
        <w:numPr>
          <w:ilvl w:val="0"/>
          <w:numId w:val="22"/>
        </w:numPr>
        <w:spacing w:before="120" w:after="120" w:line="288" w:lineRule="auto"/>
        <w:contextualSpacing w:val="0"/>
      </w:pPr>
      <w:r w:rsidRPr="00472F38">
        <w:t>Der skal føres lagerregnskab for kogler og frø, der opbevares uden for Danmark.</w:t>
      </w:r>
    </w:p>
    <w:p w:rsidR="0080139B" w:rsidRDefault="001E2C41" w:rsidP="0080139B">
      <w:pPr>
        <w:pStyle w:val="Listeafsnit"/>
        <w:numPr>
          <w:ilvl w:val="0"/>
          <w:numId w:val="22"/>
        </w:numPr>
        <w:spacing w:before="120" w:after="120" w:line="288" w:lineRule="auto"/>
        <w:contextualSpacing w:val="0"/>
      </w:pPr>
      <w:r w:rsidRPr="00472F38">
        <w:t>Der skal være en procedure for afsendelse af frø fra oprindelseslandet, kontrol med transporten og anmeldelse til importkontrol i Danmark.</w:t>
      </w:r>
    </w:p>
    <w:p w:rsidR="001E2C41" w:rsidRPr="00472F38" w:rsidRDefault="001E2C41" w:rsidP="0080139B">
      <w:pPr>
        <w:pStyle w:val="Listeafsnit"/>
        <w:numPr>
          <w:ilvl w:val="0"/>
          <w:numId w:val="22"/>
        </w:numPr>
        <w:spacing w:before="120" w:after="120" w:line="288" w:lineRule="auto"/>
        <w:contextualSpacing w:val="0"/>
      </w:pPr>
      <w:r w:rsidRPr="00472F38">
        <w:lastRenderedPageBreak/>
        <w:t xml:space="preserve">Virksomheden skal beskrive formatet for ID-mærkning af importpartier. ID-mærkning skal indeholde et ID-nummer. ID-nummeret skal bestå af </w:t>
      </w:r>
      <w:r w:rsidR="00473F7F">
        <w:t xml:space="preserve">11 eller </w:t>
      </w:r>
      <w:r w:rsidRPr="00472F38">
        <w:t>12 karakterer og være af formatet ”7 eller 8 store bogstaver, der entydigt betegner importøren; 2 tal, der betegner høstår; 2 tal, der skal være unikke for den pågældende virksomhed/høstår”.</w:t>
      </w:r>
    </w:p>
    <w:p w:rsidR="001E2C41" w:rsidRPr="00472F38" w:rsidRDefault="001E2C41" w:rsidP="003566A3">
      <w:pPr>
        <w:pStyle w:val="Listeafsnit"/>
        <w:spacing w:before="120" w:after="120" w:line="288" w:lineRule="auto"/>
        <w:ind w:left="0"/>
        <w:contextualSpacing w:val="0"/>
        <w:rPr>
          <w:b/>
        </w:rPr>
      </w:pPr>
      <w:r w:rsidRPr="00472F38">
        <w:rPr>
          <w:b/>
        </w:rPr>
        <w:t>Afvigelser konstateret ved auditeringsvirksomhedens eksterne audit</w:t>
      </w:r>
    </w:p>
    <w:p w:rsidR="001E2C41" w:rsidRPr="00472F38" w:rsidRDefault="001E2C41" w:rsidP="003566A3">
      <w:pPr>
        <w:pStyle w:val="Listeafsnit"/>
        <w:spacing w:before="120" w:after="120" w:line="288" w:lineRule="auto"/>
        <w:ind w:left="0"/>
        <w:contextualSpacing w:val="0"/>
      </w:pPr>
      <w:r w:rsidRPr="00472F38">
        <w:t xml:space="preserve">Hvis auditeringsvirksomheden ved ekstern audit konstaterer afvigelser, skal auditeringsvirksomheden meddele </w:t>
      </w:r>
      <w:r w:rsidR="00473F7F">
        <w:t>s</w:t>
      </w:r>
      <w:r>
        <w:t>tyrelsen</w:t>
      </w:r>
      <w:r w:rsidRPr="00472F38">
        <w:t xml:space="preserve"> om afvigelserne er:</w:t>
      </w:r>
    </w:p>
    <w:p w:rsidR="001E2C41" w:rsidRPr="00472F38" w:rsidRDefault="001E2C41" w:rsidP="003566A3">
      <w:pPr>
        <w:pStyle w:val="Listeafsnit"/>
        <w:spacing w:before="120" w:after="120" w:line="288" w:lineRule="auto"/>
        <w:ind w:left="0"/>
        <w:contextualSpacing w:val="0"/>
      </w:pPr>
      <w:r w:rsidRPr="00472F38">
        <w:t xml:space="preserve">a) kritiske, b) af væsentlig karakter eller c) af ikke-væsentlig karakter, </w:t>
      </w:r>
    </w:p>
    <w:p w:rsidR="001E2C41" w:rsidRPr="00472F38" w:rsidRDefault="001E2C41" w:rsidP="003566A3">
      <w:pPr>
        <w:pStyle w:val="Listeafsnit"/>
        <w:spacing w:before="120" w:after="120" w:line="288" w:lineRule="auto"/>
        <w:ind w:left="0"/>
        <w:contextualSpacing w:val="0"/>
      </w:pPr>
      <w:r w:rsidRPr="00472F38">
        <w:t>jf. kvalitetsordningens pkt. 4, stk. 3 og 4.</w:t>
      </w:r>
    </w:p>
    <w:p w:rsidR="001E2C41" w:rsidRPr="00472F38" w:rsidRDefault="001E2C41" w:rsidP="003566A3">
      <w:pPr>
        <w:pStyle w:val="Listeafsnit"/>
        <w:spacing w:before="120" w:after="120" w:line="288" w:lineRule="auto"/>
        <w:ind w:left="0"/>
        <w:contextualSpacing w:val="0"/>
      </w:pPr>
      <w:r w:rsidRPr="00472F38">
        <w:t xml:space="preserve">Kritiske afvigelser og </w:t>
      </w:r>
      <w:r w:rsidR="00473F7F" w:rsidRPr="00472F38">
        <w:t>afvigelser af</w:t>
      </w:r>
      <w:r w:rsidRPr="00472F38">
        <w:t xml:space="preserve"> væsentlig karakter skal kort beskrives. Oplysninger om afvigelser af ikke væsentlig karakter skal ikke sendes til </w:t>
      </w:r>
      <w:r>
        <w:t>styrelsen</w:t>
      </w:r>
      <w:r w:rsidRPr="00472F38">
        <w:t>.</w:t>
      </w:r>
    </w:p>
    <w:p w:rsidR="001E2C41" w:rsidRPr="00472F38" w:rsidRDefault="001E2C41" w:rsidP="003566A3">
      <w:pPr>
        <w:pStyle w:val="Listeafsnit"/>
        <w:spacing w:before="120" w:after="120" w:line="288" w:lineRule="auto"/>
        <w:ind w:left="0"/>
        <w:contextualSpacing w:val="0"/>
      </w:pPr>
      <w:r w:rsidRPr="00472F38">
        <w:rPr>
          <w:b/>
        </w:rPr>
        <w:t>Fejl og mangler konstateret ved auditeringsvirksomhedens stikprøvekontrol</w:t>
      </w:r>
    </w:p>
    <w:p w:rsidR="001E2C41" w:rsidRPr="00472F38" w:rsidRDefault="001E2C41" w:rsidP="003566A3">
      <w:pPr>
        <w:pStyle w:val="Listeafsnit"/>
        <w:spacing w:before="120" w:after="120" w:line="288" w:lineRule="auto"/>
        <w:ind w:left="0"/>
        <w:contextualSpacing w:val="0"/>
      </w:pPr>
      <w:r w:rsidRPr="00472F38">
        <w:t xml:space="preserve">Auditeringsvirksomheden skal orientere </w:t>
      </w:r>
      <w:r w:rsidR="00473F7F">
        <w:t>s</w:t>
      </w:r>
      <w:r>
        <w:t>tyrelsen</w:t>
      </w:r>
      <w:r w:rsidRPr="00472F38">
        <w:t xml:space="preserve">, hvis der ved stikprøvekontrollen findes fejl eller mangler der giver anledning til, at frøet ikke kan registreres, </w:t>
      </w:r>
    </w:p>
    <w:p w:rsidR="001E2C41" w:rsidRPr="00472F38" w:rsidRDefault="001E2C41" w:rsidP="003566A3">
      <w:pPr>
        <w:pStyle w:val="Listeafsnit"/>
        <w:spacing w:before="120" w:after="120" w:line="288" w:lineRule="auto"/>
        <w:ind w:left="0"/>
        <w:contextualSpacing w:val="0"/>
      </w:pPr>
      <w:r w:rsidRPr="00472F38">
        <w:t>jf. kvalitetsordningens pkt. 4, stk. 3 og 4.</w:t>
      </w:r>
    </w:p>
    <w:p w:rsidR="001E2C41" w:rsidRPr="00472F38" w:rsidRDefault="001E2C41" w:rsidP="003566A3">
      <w:pPr>
        <w:spacing w:before="120" w:after="120" w:line="288" w:lineRule="auto"/>
      </w:pPr>
      <w:r w:rsidRPr="00472F38">
        <w:t>Fejl eller mangler, der giver anledning til, at frøet ikke kan registreres, er f.eks.:</w:t>
      </w:r>
      <w:r w:rsidRPr="00472F38" w:rsidDel="001819D8">
        <w:t xml:space="preserve"> </w:t>
      </w:r>
      <w:r w:rsidRPr="00472F38">
        <w:t>at høstkontrollen ikke har kunnet udføres eller hvis forsegling på enheder er brudt.</w:t>
      </w:r>
    </w:p>
    <w:p w:rsidR="00473F7F" w:rsidRDefault="00473F7F" w:rsidP="003566A3">
      <w:pPr>
        <w:spacing w:before="120" w:after="120" w:line="288" w:lineRule="auto"/>
        <w:rPr>
          <w:b/>
        </w:rPr>
      </w:pPr>
      <w:r>
        <w:rPr>
          <w:b/>
        </w:rPr>
        <w:br w:type="page"/>
      </w:r>
    </w:p>
    <w:p w:rsidR="001E2C41" w:rsidRPr="00D12F78" w:rsidRDefault="001E2C41" w:rsidP="003566A3">
      <w:pPr>
        <w:spacing w:before="120" w:after="120" w:line="288" w:lineRule="auto"/>
        <w:rPr>
          <w:sz w:val="22"/>
          <w:szCs w:val="22"/>
        </w:rPr>
      </w:pPr>
      <w:r w:rsidRPr="00D12F78">
        <w:rPr>
          <w:b/>
          <w:sz w:val="22"/>
          <w:szCs w:val="22"/>
        </w:rPr>
        <w:lastRenderedPageBreak/>
        <w:t>Bilag 2. Mærkning af frø og planter, der overdrages/handles i Danmark</w:t>
      </w:r>
    </w:p>
    <w:p w:rsidR="001E2C41" w:rsidRPr="00472F38" w:rsidRDefault="001E2C41" w:rsidP="003566A3">
      <w:pPr>
        <w:spacing w:before="120" w:after="120" w:line="288" w:lineRule="auto"/>
      </w:pPr>
      <w:r w:rsidRPr="00472F38">
        <w:t>Tilmeldte virksomheder kan mærke registrerede og omfattede frø/planter efter nedenstående retningslinjer.</w:t>
      </w:r>
    </w:p>
    <w:p w:rsidR="001E2C41" w:rsidRPr="00472F38" w:rsidRDefault="001E2C41" w:rsidP="003566A3">
      <w:pPr>
        <w:spacing w:before="120" w:after="120" w:line="288" w:lineRule="auto"/>
      </w:pPr>
      <w:r w:rsidRPr="00472F38">
        <w:t>Mærkningen skal sættes på de enkelte pakningsenheder på en sådan måde, at den ikke kan overføres til andre pakningsenheder uden at det fremgår tydeligt.</w:t>
      </w:r>
    </w:p>
    <w:p w:rsidR="001E2C41" w:rsidRPr="00472F38" w:rsidRDefault="001E2C41" w:rsidP="003566A3">
      <w:pPr>
        <w:spacing w:before="120" w:after="120" w:line="288" w:lineRule="auto"/>
      </w:pPr>
      <w:r w:rsidRPr="00472F38">
        <w:t xml:space="preserve">Mærkningen må ikke have en udformning, der kan forveksles med OECD-certificeret materiale. </w:t>
      </w:r>
    </w:p>
    <w:p w:rsidR="001E2C41" w:rsidRPr="00472F38" w:rsidRDefault="001E2C41" w:rsidP="003566A3">
      <w:pPr>
        <w:spacing w:before="120" w:after="120" w:line="288" w:lineRule="auto"/>
      </w:pPr>
      <w:r w:rsidRPr="00472F38">
        <w:t>Mærkning af frø skal indeholde sikkerhedselementer eller –procedurer f.eks. regnskab med emballage/mærkesedler, vanskeligt kopierbare elementer eller lignende.</w:t>
      </w:r>
    </w:p>
    <w:p w:rsidR="0080139B" w:rsidRDefault="0080139B" w:rsidP="003566A3">
      <w:pPr>
        <w:spacing w:before="120" w:after="120" w:line="288" w:lineRule="auto"/>
        <w:rPr>
          <w:u w:val="single"/>
        </w:rPr>
      </w:pPr>
    </w:p>
    <w:p w:rsidR="001E2C41" w:rsidRPr="00472F38" w:rsidRDefault="001E2C41" w:rsidP="003566A3">
      <w:pPr>
        <w:spacing w:before="120" w:after="120" w:line="288" w:lineRule="auto"/>
      </w:pPr>
      <w:r w:rsidRPr="00472F38">
        <w:rPr>
          <w:u w:val="single"/>
        </w:rPr>
        <w:t>Mærkningen af frø</w:t>
      </w:r>
      <w:r w:rsidRPr="00472F38">
        <w:t xml:space="preserve"> skal, hvis en tilmeldt virksomhed vælger at mærke efter denne ordning, indeholde følgende oplysninger:</w:t>
      </w:r>
    </w:p>
    <w:p w:rsidR="001E2C41" w:rsidRPr="00472F38" w:rsidRDefault="001E2C41" w:rsidP="0080139B">
      <w:pPr>
        <w:pStyle w:val="Opstilling-punkttegn"/>
      </w:pPr>
      <w:r w:rsidRPr="00472F38">
        <w:t xml:space="preserve">Kongekrone og </w:t>
      </w:r>
      <w:r w:rsidR="00473F7F">
        <w:t>s</w:t>
      </w:r>
      <w:r>
        <w:t>tyrelsen</w:t>
      </w:r>
      <w:r w:rsidRPr="00472F38">
        <w:t xml:space="preserve">s navn, jf. </w:t>
      </w:r>
      <w:r>
        <w:t>styrelsen</w:t>
      </w:r>
      <w:r w:rsidRPr="00472F38">
        <w:t>s designmanual</w:t>
      </w:r>
    </w:p>
    <w:p w:rsidR="001E2C41" w:rsidRPr="00472F38" w:rsidRDefault="001E2C41" w:rsidP="0080139B">
      <w:pPr>
        <w:pStyle w:val="Opstilling-punkttegn"/>
      </w:pPr>
      <w:r w:rsidRPr="00472F38">
        <w:t xml:space="preserve">Overskrift med ordningens navn, evt. i forkortet form ”Frivillig </w:t>
      </w:r>
      <w:r w:rsidR="00D12F78" w:rsidRPr="00472F38">
        <w:t>proveniens</w:t>
      </w:r>
      <w:r w:rsidRPr="00472F38">
        <w:t xml:space="preserve"> kontrol”</w:t>
      </w:r>
    </w:p>
    <w:p w:rsidR="001E2C41" w:rsidRPr="00472F38" w:rsidRDefault="001E2C41" w:rsidP="0080139B">
      <w:pPr>
        <w:pStyle w:val="Opstilling-punkttegn"/>
      </w:pPr>
      <w:r w:rsidRPr="00472F38">
        <w:t>Pakket af ”indsæt virksomhedens navn”</w:t>
      </w:r>
    </w:p>
    <w:p w:rsidR="001E2C41" w:rsidRPr="00472F38" w:rsidRDefault="001E2C41" w:rsidP="0080139B">
      <w:pPr>
        <w:pStyle w:val="Opstilling-punkttegn"/>
      </w:pPr>
      <w:r w:rsidRPr="00472F38">
        <w:t xml:space="preserve">Partiets nummer (11 eller 12 </w:t>
      </w:r>
      <w:r w:rsidR="00D12F78">
        <w:t>karakterer</w:t>
      </w:r>
      <w:r w:rsidRPr="00472F38">
        <w:t>, jf. bilag 1, pkt. h)</w:t>
      </w:r>
    </w:p>
    <w:p w:rsidR="001E2C41" w:rsidRPr="00472F38" w:rsidRDefault="001E2C41" w:rsidP="0080139B">
      <w:pPr>
        <w:pStyle w:val="Opstilling-punkttegn"/>
      </w:pPr>
      <w:r w:rsidRPr="00472F38">
        <w:t>Artsnavn (dansk og/eller latinsk navn)</w:t>
      </w:r>
    </w:p>
    <w:p w:rsidR="001E2C41" w:rsidRPr="00472F38" w:rsidRDefault="001E2C41" w:rsidP="0080139B">
      <w:pPr>
        <w:pStyle w:val="Opstilling-punkttegn"/>
      </w:pPr>
      <w:r w:rsidRPr="00472F38">
        <w:t>Oprindelsesland</w:t>
      </w:r>
    </w:p>
    <w:p w:rsidR="001E2C41" w:rsidRPr="00472F38" w:rsidRDefault="001E2C41" w:rsidP="0080139B">
      <w:pPr>
        <w:pStyle w:val="Opstilling-punkttegn"/>
      </w:pPr>
      <w:r w:rsidRPr="00472F38">
        <w:t>Evt. geografisk betegnelse for høststed</w:t>
      </w:r>
    </w:p>
    <w:p w:rsidR="001E2C41" w:rsidRPr="00472F38" w:rsidRDefault="001E2C41" w:rsidP="0080139B">
      <w:pPr>
        <w:pStyle w:val="Opstilling-punkttegn"/>
      </w:pPr>
      <w:r w:rsidRPr="00472F38">
        <w:t>Mængde i pakningsenheden (kg eller stk.)</w:t>
      </w:r>
    </w:p>
    <w:p w:rsidR="001E2C41" w:rsidRPr="00472F38" w:rsidRDefault="001E2C41" w:rsidP="0080139B">
      <w:pPr>
        <w:pStyle w:val="Opstilling-punkttegn"/>
      </w:pPr>
      <w:r w:rsidRPr="00472F38">
        <w:t>Antal spiredygtige frø pr. kg</w:t>
      </w:r>
    </w:p>
    <w:p w:rsidR="0080139B" w:rsidRDefault="0080139B" w:rsidP="003566A3">
      <w:pPr>
        <w:spacing w:before="120" w:after="120" w:line="288" w:lineRule="auto"/>
        <w:rPr>
          <w:u w:val="single"/>
        </w:rPr>
      </w:pPr>
    </w:p>
    <w:p w:rsidR="001E2C41" w:rsidRPr="00472F38" w:rsidRDefault="001E2C41" w:rsidP="003566A3">
      <w:pPr>
        <w:spacing w:before="120" w:after="120" w:line="288" w:lineRule="auto"/>
      </w:pPr>
      <w:r w:rsidRPr="00472F38">
        <w:rPr>
          <w:u w:val="single"/>
        </w:rPr>
        <w:t>Mærkningen af planter</w:t>
      </w:r>
      <w:r w:rsidRPr="00472F38">
        <w:t xml:space="preserve"> skal, hvis en tilmeldt virksomhed vælger at mærke efter denne ordning, indeholde følgende oplysninger: </w:t>
      </w:r>
    </w:p>
    <w:p w:rsidR="001E2C41" w:rsidRPr="00472F38" w:rsidRDefault="001E2C41" w:rsidP="0080139B">
      <w:pPr>
        <w:pStyle w:val="Opstilling-punkttegn"/>
      </w:pPr>
      <w:r w:rsidRPr="00472F38">
        <w:t xml:space="preserve">Ordningens navn, evt. i forkortet form ”Frivillig </w:t>
      </w:r>
      <w:r w:rsidR="00D12F78" w:rsidRPr="00472F38">
        <w:t>proveniens</w:t>
      </w:r>
      <w:r w:rsidRPr="00472F38">
        <w:t xml:space="preserve"> kontrol”</w:t>
      </w:r>
    </w:p>
    <w:p w:rsidR="001E2C41" w:rsidRPr="00472F38" w:rsidRDefault="001E2C41" w:rsidP="0080139B">
      <w:pPr>
        <w:pStyle w:val="Opstilling-punkttegn"/>
      </w:pPr>
      <w:r w:rsidRPr="00472F38">
        <w:t>Pakket af ”indsæt virksomhedens navn”</w:t>
      </w:r>
    </w:p>
    <w:p w:rsidR="001E2C41" w:rsidRPr="00472F38" w:rsidRDefault="001E2C41" w:rsidP="0080139B">
      <w:pPr>
        <w:pStyle w:val="Opstilling-punkttegn"/>
      </w:pPr>
      <w:r w:rsidRPr="00472F38">
        <w:t xml:space="preserve">Partiets nummer (11 eller 12 </w:t>
      </w:r>
      <w:r w:rsidR="00D12F78">
        <w:t>karakterer</w:t>
      </w:r>
      <w:r w:rsidRPr="00472F38">
        <w:t>, jf. bilag 1</w:t>
      </w:r>
      <w:r w:rsidR="00D12F78">
        <w:t>,</w:t>
      </w:r>
      <w:r w:rsidRPr="00472F38">
        <w:t xml:space="preserve"> pkt. h)</w:t>
      </w:r>
    </w:p>
    <w:p w:rsidR="001E2C41" w:rsidRPr="00472F38" w:rsidRDefault="001E2C41" w:rsidP="0080139B">
      <w:pPr>
        <w:pStyle w:val="Opstilling-punkttegn"/>
      </w:pPr>
      <w:r w:rsidRPr="00472F38">
        <w:t>Artsnavn (dansk og/eller latinsk navn)</w:t>
      </w:r>
    </w:p>
    <w:p w:rsidR="001E2C41" w:rsidRPr="00472F38" w:rsidRDefault="001E2C41" w:rsidP="0080139B">
      <w:pPr>
        <w:pStyle w:val="Opstilling-punkttegn"/>
      </w:pPr>
      <w:r w:rsidRPr="00472F38">
        <w:t>Oprindelsesland</w:t>
      </w:r>
    </w:p>
    <w:p w:rsidR="001E2C41" w:rsidRPr="00472F38" w:rsidRDefault="001E2C41" w:rsidP="0080139B">
      <w:pPr>
        <w:pStyle w:val="Opstilling-punkttegn"/>
      </w:pPr>
      <w:r w:rsidRPr="00472F38">
        <w:t>Mængde i pakningsenheden (kg eller stk.)</w:t>
      </w:r>
    </w:p>
    <w:p w:rsidR="0080139B" w:rsidRDefault="0080139B" w:rsidP="003566A3">
      <w:pPr>
        <w:spacing w:before="120" w:after="120" w:line="288" w:lineRule="auto"/>
      </w:pPr>
    </w:p>
    <w:p w:rsidR="001E2C41" w:rsidRPr="00472F38" w:rsidRDefault="001E2C41" w:rsidP="003566A3">
      <w:pPr>
        <w:spacing w:before="120" w:after="120" w:line="288" w:lineRule="auto"/>
      </w:pPr>
      <w:r w:rsidRPr="00472F38">
        <w:t>Mærkningen af planter kan herudover indeholde følgende oplysninger:</w:t>
      </w:r>
    </w:p>
    <w:p w:rsidR="001E2C41" w:rsidRPr="00472F38" w:rsidRDefault="001E2C41" w:rsidP="0080139B">
      <w:pPr>
        <w:pStyle w:val="Opstilling-punkttegn"/>
      </w:pPr>
      <w:r w:rsidRPr="00472F38">
        <w:t xml:space="preserve">Kongekrone og </w:t>
      </w:r>
      <w:r w:rsidR="00473F7F">
        <w:t>s</w:t>
      </w:r>
      <w:r>
        <w:t>tyrelsen</w:t>
      </w:r>
      <w:r w:rsidRPr="00472F38">
        <w:t xml:space="preserve">s navn, jf. </w:t>
      </w:r>
      <w:r>
        <w:t>styrelsen</w:t>
      </w:r>
      <w:r w:rsidRPr="00472F38">
        <w:t>s designmanual</w:t>
      </w:r>
    </w:p>
    <w:p w:rsidR="001E2C41" w:rsidRPr="00472F38" w:rsidRDefault="001E2C41" w:rsidP="0080139B">
      <w:pPr>
        <w:pStyle w:val="Opstilling-punkttegn"/>
      </w:pPr>
      <w:r w:rsidRPr="00472F38">
        <w:t>Geografisk betegnelse for høststed</w:t>
      </w:r>
    </w:p>
    <w:p w:rsidR="001E2C41" w:rsidRPr="00472F38" w:rsidRDefault="001E2C41" w:rsidP="0080139B">
      <w:pPr>
        <w:pStyle w:val="Opstilling-punkttegn"/>
      </w:pPr>
      <w:r w:rsidRPr="00472F38">
        <w:t>Alder og type af plantematerialet</w:t>
      </w:r>
    </w:p>
    <w:p w:rsidR="001E2C41" w:rsidRPr="00472F38" w:rsidRDefault="001E2C41" w:rsidP="003566A3">
      <w:pPr>
        <w:spacing w:before="120" w:after="120" w:line="288" w:lineRule="auto"/>
      </w:pPr>
      <w:r w:rsidRPr="00472F38">
        <w:br w:type="page"/>
      </w:r>
    </w:p>
    <w:p w:rsidR="001E2C41" w:rsidRPr="0080139B" w:rsidRDefault="001E2C41" w:rsidP="003566A3">
      <w:pPr>
        <w:spacing w:before="120" w:after="120" w:line="288" w:lineRule="auto"/>
        <w:rPr>
          <w:b/>
          <w:sz w:val="22"/>
          <w:szCs w:val="22"/>
        </w:rPr>
      </w:pPr>
      <w:r w:rsidRPr="0080139B">
        <w:rPr>
          <w:b/>
          <w:sz w:val="22"/>
          <w:szCs w:val="22"/>
        </w:rPr>
        <w:lastRenderedPageBreak/>
        <w:t xml:space="preserve">Bilag 3. </w:t>
      </w:r>
      <w:r w:rsidR="0080139B" w:rsidRPr="0080139B">
        <w:rPr>
          <w:b/>
          <w:sz w:val="22"/>
          <w:szCs w:val="22"/>
        </w:rPr>
        <w:t>Priser for Landbrugsstyrelsens ydelser i forbindelse med den aftalebaserede ordning</w:t>
      </w:r>
    </w:p>
    <w:p w:rsidR="001E2C41" w:rsidRPr="00472F38" w:rsidRDefault="001E2C41" w:rsidP="003566A3">
      <w:pPr>
        <w:spacing w:before="120" w:after="120" w:line="288" w:lineRule="auto"/>
      </w:pPr>
    </w:p>
    <w:p w:rsidR="001E2C41" w:rsidRDefault="009E5928" w:rsidP="003566A3">
      <w:pPr>
        <w:spacing w:before="120" w:after="120" w:line="288" w:lineRule="auto"/>
      </w:pPr>
      <w:r w:rsidRPr="009E5928">
        <w:t>Alle priser er ekskl. moms:</w:t>
      </w:r>
    </w:p>
    <w:p w:rsidR="009E5928" w:rsidRDefault="009E5928" w:rsidP="003566A3">
      <w:pPr>
        <w:spacing w:before="120" w:after="120" w:line="288" w:lineRule="auto"/>
      </w:pPr>
    </w:p>
    <w:tbl>
      <w:tblPr>
        <w:tblStyle w:val="Tabel-Gitter"/>
        <w:tblW w:w="0" w:type="auto"/>
        <w:tblLook w:val="04A0" w:firstRow="1" w:lastRow="0" w:firstColumn="1" w:lastColumn="0" w:noHBand="0" w:noVBand="1"/>
      </w:tblPr>
      <w:tblGrid>
        <w:gridCol w:w="7366"/>
        <w:gridCol w:w="1979"/>
      </w:tblGrid>
      <w:tr w:rsidR="009E5928" w:rsidTr="00D12F78">
        <w:tc>
          <w:tcPr>
            <w:tcW w:w="7366" w:type="dxa"/>
          </w:tcPr>
          <w:p w:rsidR="009E5928" w:rsidRDefault="009E5928" w:rsidP="003566A3">
            <w:pPr>
              <w:spacing w:before="120" w:after="120" w:line="288" w:lineRule="auto"/>
            </w:pPr>
            <w:r w:rsidRPr="00472F38">
              <w:t>Tilmelding/fortsat tilmelding af importør</w:t>
            </w:r>
            <w:r w:rsidRPr="00472F38">
              <w:tab/>
            </w:r>
          </w:p>
        </w:tc>
        <w:tc>
          <w:tcPr>
            <w:tcW w:w="1979" w:type="dxa"/>
          </w:tcPr>
          <w:p w:rsidR="009E5928" w:rsidRDefault="009E5928" w:rsidP="003566A3">
            <w:pPr>
              <w:spacing w:before="120" w:after="120" w:line="288" w:lineRule="auto"/>
            </w:pPr>
            <w:r w:rsidRPr="00472F38">
              <w:t>6.500 kr.</w:t>
            </w:r>
          </w:p>
        </w:tc>
      </w:tr>
      <w:tr w:rsidR="009E5928" w:rsidTr="00D12F78">
        <w:tc>
          <w:tcPr>
            <w:tcW w:w="7366" w:type="dxa"/>
          </w:tcPr>
          <w:p w:rsidR="009E5928" w:rsidRDefault="009E5928" w:rsidP="003566A3">
            <w:pPr>
              <w:spacing w:before="120" w:after="120" w:line="288" w:lineRule="auto"/>
            </w:pPr>
            <w:r w:rsidRPr="00472F38">
              <w:t>Tilmelding/fortsat tilmelding af omsætter i Danmark</w:t>
            </w:r>
          </w:p>
        </w:tc>
        <w:tc>
          <w:tcPr>
            <w:tcW w:w="1979" w:type="dxa"/>
          </w:tcPr>
          <w:p w:rsidR="009E5928" w:rsidRDefault="009E5928" w:rsidP="003566A3">
            <w:pPr>
              <w:spacing w:before="120" w:after="120" w:line="288" w:lineRule="auto"/>
            </w:pPr>
            <w:r w:rsidRPr="00472F38">
              <w:t>4.000 kr.</w:t>
            </w:r>
          </w:p>
        </w:tc>
      </w:tr>
      <w:tr w:rsidR="009E5928" w:rsidTr="00D12F78">
        <w:tc>
          <w:tcPr>
            <w:tcW w:w="7366" w:type="dxa"/>
          </w:tcPr>
          <w:p w:rsidR="009E5928" w:rsidRDefault="009E5928" w:rsidP="003566A3">
            <w:pPr>
              <w:spacing w:before="120" w:after="120" w:line="288" w:lineRule="auto"/>
            </w:pPr>
            <w:r w:rsidRPr="00472F38">
              <w:t>Registrering af parti</w:t>
            </w:r>
          </w:p>
        </w:tc>
        <w:tc>
          <w:tcPr>
            <w:tcW w:w="1979" w:type="dxa"/>
          </w:tcPr>
          <w:p w:rsidR="009E5928" w:rsidRDefault="009E5928" w:rsidP="003566A3">
            <w:pPr>
              <w:spacing w:before="120" w:after="120" w:line="288" w:lineRule="auto"/>
            </w:pPr>
            <w:r w:rsidRPr="00472F38">
              <w:t>1.500 kr.</w:t>
            </w:r>
          </w:p>
        </w:tc>
      </w:tr>
      <w:tr w:rsidR="009E5928" w:rsidTr="00D12F78">
        <w:tc>
          <w:tcPr>
            <w:tcW w:w="7366" w:type="dxa"/>
          </w:tcPr>
          <w:p w:rsidR="009E5928" w:rsidRDefault="009E5928" w:rsidP="003566A3">
            <w:pPr>
              <w:spacing w:before="120" w:after="120" w:line="288" w:lineRule="auto"/>
            </w:pPr>
            <w:r w:rsidRPr="00472F38">
              <w:t>Importkontrol</w:t>
            </w:r>
            <w:r w:rsidRPr="00472F38">
              <w:tab/>
              <w:t>, inkl. transporttid</w:t>
            </w:r>
          </w:p>
        </w:tc>
        <w:tc>
          <w:tcPr>
            <w:tcW w:w="1979" w:type="dxa"/>
          </w:tcPr>
          <w:p w:rsidR="009E5928" w:rsidRDefault="009E5928" w:rsidP="003566A3">
            <w:pPr>
              <w:spacing w:before="120" w:after="120" w:line="288" w:lineRule="auto"/>
            </w:pPr>
            <w:r w:rsidRPr="0053400E">
              <w:t>tidsforbrug*</w:t>
            </w:r>
          </w:p>
        </w:tc>
      </w:tr>
      <w:tr w:rsidR="009E5928" w:rsidTr="00D12F78">
        <w:tc>
          <w:tcPr>
            <w:tcW w:w="7366" w:type="dxa"/>
          </w:tcPr>
          <w:p w:rsidR="009E5928" w:rsidRDefault="009E5928" w:rsidP="003566A3">
            <w:pPr>
              <w:spacing w:before="120" w:after="120" w:line="288" w:lineRule="auto"/>
            </w:pPr>
            <w:r w:rsidRPr="00472F38">
              <w:t>Kontrol hos importører/omsættere, én gang årligt**</w:t>
            </w:r>
          </w:p>
        </w:tc>
        <w:tc>
          <w:tcPr>
            <w:tcW w:w="1979" w:type="dxa"/>
          </w:tcPr>
          <w:p w:rsidR="009E5928" w:rsidRDefault="009E5928" w:rsidP="003566A3">
            <w:pPr>
              <w:spacing w:before="120" w:after="120" w:line="288" w:lineRule="auto"/>
            </w:pPr>
            <w:r w:rsidRPr="0053400E">
              <w:t>tidsforbrug*</w:t>
            </w:r>
          </w:p>
        </w:tc>
      </w:tr>
      <w:tr w:rsidR="009E5928" w:rsidTr="00D12F78">
        <w:tc>
          <w:tcPr>
            <w:tcW w:w="7366" w:type="dxa"/>
          </w:tcPr>
          <w:p w:rsidR="009E5928" w:rsidRDefault="009E5928" w:rsidP="003566A3">
            <w:pPr>
              <w:spacing w:before="120" w:after="120" w:line="288" w:lineRule="auto"/>
            </w:pPr>
            <w:r>
              <w:t>Styrelsen</w:t>
            </w:r>
            <w:r w:rsidRPr="00472F38">
              <w:t>s godkendelse af kvali</w:t>
            </w:r>
            <w:r>
              <w:t>tetshåndbog</w:t>
            </w:r>
          </w:p>
        </w:tc>
        <w:tc>
          <w:tcPr>
            <w:tcW w:w="1979" w:type="dxa"/>
          </w:tcPr>
          <w:p w:rsidR="009E5928" w:rsidRDefault="009E5928" w:rsidP="003566A3">
            <w:pPr>
              <w:spacing w:before="120" w:after="120" w:line="288" w:lineRule="auto"/>
            </w:pPr>
            <w:r w:rsidRPr="0053400E">
              <w:t>tidsforbrug*</w:t>
            </w:r>
          </w:p>
        </w:tc>
      </w:tr>
      <w:tr w:rsidR="009E5928" w:rsidTr="00D12F78">
        <w:tc>
          <w:tcPr>
            <w:tcW w:w="7366" w:type="dxa"/>
          </w:tcPr>
          <w:p w:rsidR="009E5928" w:rsidRPr="00472F38" w:rsidRDefault="009E5928" w:rsidP="003566A3">
            <w:pPr>
              <w:spacing w:before="120" w:after="120" w:line="288" w:lineRule="auto"/>
            </w:pPr>
            <w:r>
              <w:t>Styrelsen</w:t>
            </w:r>
            <w:r w:rsidRPr="00472F38">
              <w:t xml:space="preserve">s behandling af afvigelser eller </w:t>
            </w:r>
          </w:p>
          <w:p w:rsidR="009E5928" w:rsidRDefault="009E5928" w:rsidP="003566A3">
            <w:pPr>
              <w:spacing w:before="120" w:after="120" w:line="288" w:lineRule="auto"/>
            </w:pPr>
            <w:r w:rsidRPr="00472F38">
              <w:t>fejl og mangler konstateret af auditeringsvirksomhed</w:t>
            </w:r>
          </w:p>
        </w:tc>
        <w:tc>
          <w:tcPr>
            <w:tcW w:w="1979" w:type="dxa"/>
          </w:tcPr>
          <w:p w:rsidR="009E5928" w:rsidRDefault="009E5928" w:rsidP="003566A3">
            <w:pPr>
              <w:spacing w:before="120" w:after="120" w:line="288" w:lineRule="auto"/>
            </w:pPr>
            <w:r w:rsidRPr="0053400E">
              <w:t>tidsforbrug*</w:t>
            </w:r>
          </w:p>
        </w:tc>
      </w:tr>
      <w:tr w:rsidR="009E5928" w:rsidTr="00D12F78">
        <w:tc>
          <w:tcPr>
            <w:tcW w:w="7366" w:type="dxa"/>
          </w:tcPr>
          <w:p w:rsidR="009E5928" w:rsidRPr="00472F38" w:rsidRDefault="009E5928" w:rsidP="003566A3">
            <w:pPr>
              <w:spacing w:before="120" w:after="120" w:line="288" w:lineRule="auto"/>
            </w:pPr>
            <w:r>
              <w:t>Styrelsens vejledning af auditerings</w:t>
            </w:r>
            <w:r w:rsidRPr="00472F38">
              <w:t xml:space="preserve">virksomheder for virksomheder, der er eller ønsker at blive tilmeldt </w:t>
            </w:r>
          </w:p>
          <w:p w:rsidR="009E5928" w:rsidRDefault="009E5928" w:rsidP="003566A3">
            <w:pPr>
              <w:spacing w:before="120" w:after="120" w:line="288" w:lineRule="auto"/>
            </w:pPr>
          </w:p>
        </w:tc>
        <w:tc>
          <w:tcPr>
            <w:tcW w:w="1979" w:type="dxa"/>
          </w:tcPr>
          <w:p w:rsidR="009E5928" w:rsidRDefault="009E5928" w:rsidP="003566A3">
            <w:pPr>
              <w:spacing w:before="120" w:after="120" w:line="288" w:lineRule="auto"/>
            </w:pPr>
            <w:r w:rsidRPr="0053400E">
              <w:t>tidsforbrug*</w:t>
            </w:r>
          </w:p>
        </w:tc>
      </w:tr>
      <w:tr w:rsidR="009E5928" w:rsidTr="00D12F78">
        <w:tc>
          <w:tcPr>
            <w:tcW w:w="7366" w:type="dxa"/>
          </w:tcPr>
          <w:p w:rsidR="009E5928" w:rsidRPr="00472F38" w:rsidRDefault="009E5928" w:rsidP="003566A3">
            <w:pPr>
              <w:spacing w:before="120" w:after="120" w:line="288" w:lineRule="auto"/>
            </w:pPr>
            <w:r>
              <w:t>Styrelsen</w:t>
            </w:r>
            <w:r w:rsidRPr="00472F38">
              <w:t>s vejledning af virksomheder</w:t>
            </w:r>
            <w:r>
              <w:t xml:space="preserve"> </w:t>
            </w:r>
            <w:r w:rsidRPr="00472F38">
              <w:t>om: tilmelding, fortsat tilmelding eller registrering</w:t>
            </w:r>
            <w:r>
              <w:t xml:space="preserve"> </w:t>
            </w:r>
            <w:r w:rsidRPr="00472F38">
              <w:t xml:space="preserve">af frøpartier eller vejledning om registrerede partier </w:t>
            </w:r>
          </w:p>
          <w:p w:rsidR="009E5928" w:rsidRDefault="009E5928" w:rsidP="003566A3">
            <w:pPr>
              <w:spacing w:before="120" w:after="120" w:line="288" w:lineRule="auto"/>
            </w:pPr>
          </w:p>
        </w:tc>
        <w:tc>
          <w:tcPr>
            <w:tcW w:w="1979" w:type="dxa"/>
          </w:tcPr>
          <w:p w:rsidR="009E5928" w:rsidRDefault="009E5928" w:rsidP="003566A3">
            <w:pPr>
              <w:spacing w:before="120" w:after="120" w:line="288" w:lineRule="auto"/>
            </w:pPr>
            <w:r w:rsidRPr="0053400E">
              <w:t>tidsforbrug*</w:t>
            </w:r>
          </w:p>
        </w:tc>
      </w:tr>
    </w:tbl>
    <w:p w:rsidR="009E5928" w:rsidRPr="009E5928" w:rsidRDefault="009E5928" w:rsidP="003566A3">
      <w:pPr>
        <w:spacing w:before="120" w:after="120" w:line="288" w:lineRule="auto"/>
      </w:pPr>
    </w:p>
    <w:p w:rsidR="001E2C41" w:rsidRPr="00472F38" w:rsidRDefault="001E2C41" w:rsidP="003566A3">
      <w:pPr>
        <w:spacing w:before="120" w:after="120" w:line="288" w:lineRule="auto"/>
        <w:ind w:right="1983"/>
        <w:rPr>
          <w:i/>
        </w:rPr>
      </w:pPr>
      <w:r w:rsidRPr="00472F38">
        <w:rPr>
          <w:i/>
        </w:rPr>
        <w:t xml:space="preserve">*) </w:t>
      </w:r>
      <w:r w:rsidRPr="009E5928">
        <w:t xml:space="preserve">Tidsforbrug faktureres efter gældende takster i </w:t>
      </w:r>
      <w:r w:rsidR="00473F7F" w:rsidRPr="009E5928">
        <w:t>s</w:t>
      </w:r>
      <w:r w:rsidRPr="009E5928">
        <w:t>tyrelsens prisliste.</w:t>
      </w:r>
      <w:r w:rsidRPr="00472F38">
        <w:rPr>
          <w:i/>
        </w:rPr>
        <w:t xml:space="preserve">  </w:t>
      </w:r>
      <w:r w:rsidRPr="00472F38">
        <w:t>For høståret</w:t>
      </w:r>
      <w:r w:rsidRPr="00472F38">
        <w:rPr>
          <w:i/>
        </w:rPr>
        <w:t xml:space="preserve"> </w:t>
      </w:r>
      <w:r w:rsidRPr="00472F38">
        <w:t>1. august 201</w:t>
      </w:r>
      <w:r w:rsidR="009E5928">
        <w:t>7 – 31. juli 2018</w:t>
      </w:r>
      <w:r w:rsidRPr="00472F38">
        <w:t xml:space="preserve"> er timeprisen 820 </w:t>
      </w:r>
      <w:r w:rsidR="00D12F78" w:rsidRPr="00472F38">
        <w:t>kr.</w:t>
      </w:r>
      <w:r w:rsidR="00D12F78">
        <w:t xml:space="preserve"> for frivillige rekvirerede ydelser</w:t>
      </w:r>
      <w:r w:rsidRPr="00472F38">
        <w:t>. Den medgåede tid for opgaven opgøres pr. påbegyndt time.</w:t>
      </w:r>
    </w:p>
    <w:p w:rsidR="001E2C41" w:rsidRPr="00472F38" w:rsidRDefault="001E2C41" w:rsidP="003566A3">
      <w:pPr>
        <w:spacing w:before="120" w:after="120" w:line="288" w:lineRule="auto"/>
        <w:ind w:right="1983"/>
      </w:pPr>
    </w:p>
    <w:p w:rsidR="001E2C41" w:rsidRPr="00472F38" w:rsidRDefault="001E2C41" w:rsidP="003566A3">
      <w:pPr>
        <w:spacing w:before="120" w:after="120" w:line="288" w:lineRule="auto"/>
        <w:ind w:right="1983"/>
      </w:pPr>
      <w:r w:rsidRPr="00472F38">
        <w:t xml:space="preserve">**) For importører/omsættere, der ikke er registrerede som omsættere/importører af skovfrø og -planter, jf. § 5 i bekendtgørelse </w:t>
      </w:r>
      <w:r w:rsidR="00473F7F" w:rsidRPr="00472F38">
        <w:t xml:space="preserve">nr. </w:t>
      </w:r>
      <w:r w:rsidR="00473F7F">
        <w:t>596</w:t>
      </w:r>
      <w:r w:rsidR="00473F7F" w:rsidRPr="00472F38">
        <w:t xml:space="preserve"> af </w:t>
      </w:r>
      <w:r w:rsidR="00473F7F">
        <w:t>31</w:t>
      </w:r>
      <w:r w:rsidR="00473F7F" w:rsidRPr="00472F38">
        <w:t xml:space="preserve">. </w:t>
      </w:r>
      <w:r w:rsidR="00473F7F">
        <w:t>maj 2017</w:t>
      </w:r>
      <w:r w:rsidR="00473F7F" w:rsidRPr="00472F38">
        <w:t xml:space="preserve"> om skovfrø og </w:t>
      </w:r>
      <w:r w:rsidR="00473F7F">
        <w:t>-</w:t>
      </w:r>
      <w:r w:rsidR="00473F7F" w:rsidRPr="00472F38">
        <w:t>planter</w:t>
      </w:r>
      <w:r w:rsidRPr="00472F38">
        <w:t>, beregnes endvidere tidsforbrug ved kontrollørens transport til kontrolstedet.</w:t>
      </w:r>
    </w:p>
    <w:p w:rsidR="00021E8C" w:rsidRPr="00E46CF2" w:rsidRDefault="00021E8C" w:rsidP="003566A3">
      <w:pPr>
        <w:pStyle w:val="Overskrift1"/>
        <w:spacing w:before="120" w:after="120" w:line="288" w:lineRule="auto"/>
        <w:contextualSpacing w:val="0"/>
      </w:pPr>
    </w:p>
    <w:sectPr w:rsidR="00021E8C" w:rsidRPr="00E46CF2" w:rsidSect="00BA4AB4">
      <w:headerReference w:type="default" r:id="rId8"/>
      <w:footerReference w:type="even" r:id="rId9"/>
      <w:footerReference w:type="default" r:id="rId10"/>
      <w:headerReference w:type="first" r:id="rId11"/>
      <w:footerReference w:type="first" r:id="rId12"/>
      <w:pgSz w:w="11906" w:h="16838" w:code="9"/>
      <w:pgMar w:top="2041" w:right="1133" w:bottom="1701" w:left="1418" w:header="45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CF2" w:rsidRDefault="00E46CF2">
      <w:r>
        <w:separator/>
      </w:r>
    </w:p>
  </w:endnote>
  <w:endnote w:type="continuationSeparator" w:id="0">
    <w:p w:rsidR="00E46CF2" w:rsidRDefault="00E4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46CF2">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FE" w:rsidRDefault="007A04FE"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310943">
      <w:rPr>
        <w:rStyle w:val="Sidetal"/>
        <w:noProof/>
      </w:rPr>
      <w:t>5</w:t>
    </w:r>
    <w:r>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3FE" w:rsidRPr="00E46CF2" w:rsidRDefault="00E46CF2" w:rsidP="00CF614F">
    <w:pPr>
      <w:pStyle w:val="Template-Address"/>
    </w:pPr>
    <w:bookmarkStart w:id="20" w:name="OFF_Institution"/>
    <w:bookmarkStart w:id="21" w:name="OFF_InstitutionHIF"/>
    <w:bookmarkStart w:id="22" w:name="XIF_MMFirstAddressLine"/>
    <w:bookmarkStart w:id="23" w:name="CNT_FooterFirst"/>
    <w:r w:rsidRPr="00E46CF2">
      <w:t>Landbrugsstyrelsen</w:t>
    </w:r>
    <w:bookmarkEnd w:id="20"/>
    <w:r w:rsidR="00FE03FE" w:rsidRPr="00E46CF2">
      <w:t xml:space="preserve"> </w:t>
    </w:r>
    <w:bookmarkEnd w:id="21"/>
    <w:r w:rsidR="00FE03FE" w:rsidRPr="00E46CF2">
      <w:t xml:space="preserve">• </w:t>
    </w:r>
    <w:bookmarkStart w:id="24" w:name="OFF_AddressA"/>
    <w:bookmarkStart w:id="25" w:name="OFF_AddressAHIF"/>
    <w:r w:rsidRPr="00E46CF2">
      <w:t>Nyropsgade 30</w:t>
    </w:r>
    <w:bookmarkEnd w:id="24"/>
    <w:r w:rsidR="00FE03FE" w:rsidRPr="00E46CF2">
      <w:t xml:space="preserve"> </w:t>
    </w:r>
    <w:bookmarkEnd w:id="25"/>
    <w:r w:rsidR="00FE03FE" w:rsidRPr="00E46CF2">
      <w:rPr>
        <w:vanish/>
      </w:rPr>
      <w:t xml:space="preserve">• </w:t>
    </w:r>
    <w:bookmarkStart w:id="26" w:name="OFF_AddressB"/>
    <w:bookmarkStart w:id="27" w:name="OFF_AddressBHIF"/>
    <w:bookmarkEnd w:id="26"/>
    <w:r w:rsidR="00FE03FE" w:rsidRPr="00E46CF2">
      <w:rPr>
        <w:vanish/>
      </w:rPr>
      <w:t xml:space="preserve"> </w:t>
    </w:r>
    <w:bookmarkEnd w:id="27"/>
    <w:r w:rsidR="00FE03FE" w:rsidRPr="00E46CF2">
      <w:rPr>
        <w:vanish/>
      </w:rPr>
      <w:t xml:space="preserve">• </w:t>
    </w:r>
    <w:bookmarkStart w:id="28" w:name="OFF_AddressC"/>
    <w:bookmarkStart w:id="29" w:name="OFF_AddressCHIF"/>
    <w:bookmarkEnd w:id="28"/>
    <w:r w:rsidR="00FE03FE" w:rsidRPr="00E46CF2">
      <w:rPr>
        <w:vanish/>
      </w:rPr>
      <w:t xml:space="preserve"> </w:t>
    </w:r>
    <w:bookmarkEnd w:id="29"/>
    <w:r w:rsidR="00FE03FE" w:rsidRPr="00E46CF2">
      <w:t xml:space="preserve">• </w:t>
    </w:r>
    <w:bookmarkStart w:id="30" w:name="OFF_AddressD"/>
    <w:bookmarkStart w:id="31" w:name="OFF_AddressDHIF"/>
    <w:r w:rsidRPr="00E46CF2">
      <w:t>1780</w:t>
    </w:r>
    <w:bookmarkEnd w:id="30"/>
    <w:r w:rsidR="00FE03FE" w:rsidRPr="00E46CF2">
      <w:t xml:space="preserve"> </w:t>
    </w:r>
    <w:bookmarkStart w:id="32" w:name="OFF_City"/>
    <w:r>
      <w:t>København V</w:t>
    </w:r>
    <w:bookmarkEnd w:id="32"/>
    <w:r w:rsidR="00FE03FE" w:rsidRPr="00E46CF2">
      <w:t xml:space="preserve"> </w:t>
    </w:r>
    <w:bookmarkEnd w:id="31"/>
  </w:p>
  <w:p w:rsidR="00FE03FE" w:rsidRDefault="00E46CF2" w:rsidP="00CF614F">
    <w:pPr>
      <w:pStyle w:val="Template-Address"/>
    </w:pPr>
    <w:bookmarkStart w:id="33" w:name="LAN_Phone"/>
    <w:bookmarkStart w:id="34" w:name="OFF_PhoneHIF"/>
    <w:bookmarkStart w:id="35" w:name="XIF_MMSecondAddressLine"/>
    <w:bookmarkEnd w:id="22"/>
    <w:r w:rsidRPr="00E46CF2">
      <w:t>Tlf.</w:t>
    </w:r>
    <w:bookmarkEnd w:id="33"/>
    <w:r w:rsidR="00FE03FE" w:rsidRPr="00E46CF2">
      <w:t xml:space="preserve"> </w:t>
    </w:r>
    <w:bookmarkStart w:id="36" w:name="OFF_Phone"/>
    <w:r w:rsidRPr="00E46CF2">
      <w:t>33 95 80 00</w:t>
    </w:r>
    <w:bookmarkEnd w:id="36"/>
    <w:r w:rsidR="00FE03FE" w:rsidRPr="00E46CF2">
      <w:t xml:space="preserve"> </w:t>
    </w:r>
    <w:bookmarkEnd w:id="34"/>
    <w:r w:rsidR="00FE03FE" w:rsidRPr="00E46CF2">
      <w:rPr>
        <w:vanish/>
      </w:rPr>
      <w:t xml:space="preserve">• </w:t>
    </w:r>
    <w:bookmarkStart w:id="37" w:name="LAN_Fax"/>
    <w:bookmarkStart w:id="38" w:name="OFF_FaxHIF"/>
    <w:r w:rsidRPr="00E46CF2">
      <w:rPr>
        <w:vanish/>
      </w:rPr>
      <w:t>Fax</w:t>
    </w:r>
    <w:bookmarkEnd w:id="37"/>
    <w:r w:rsidR="00FE03FE" w:rsidRPr="00E46CF2">
      <w:rPr>
        <w:vanish/>
      </w:rPr>
      <w:t xml:space="preserve"> </w:t>
    </w:r>
    <w:bookmarkStart w:id="39" w:name="OFF_Fax"/>
    <w:bookmarkEnd w:id="39"/>
    <w:r w:rsidR="00FE03FE" w:rsidRPr="00E46CF2">
      <w:rPr>
        <w:vanish/>
      </w:rPr>
      <w:t xml:space="preserve"> </w:t>
    </w:r>
    <w:bookmarkEnd w:id="38"/>
    <w:r w:rsidR="00FE03FE" w:rsidRPr="00E46CF2">
      <w:t xml:space="preserve">• </w:t>
    </w:r>
    <w:bookmarkStart w:id="40" w:name="OFF_CVRHIF"/>
    <w:r w:rsidR="00FE03FE" w:rsidRPr="00E46CF2">
      <w:t xml:space="preserve">CVR </w:t>
    </w:r>
    <w:bookmarkStart w:id="41" w:name="OFF_CVR"/>
    <w:r w:rsidRPr="00E46CF2">
      <w:t>20814616</w:t>
    </w:r>
    <w:bookmarkEnd w:id="41"/>
    <w:r w:rsidR="00FE03FE" w:rsidRPr="00E46CF2">
      <w:t xml:space="preserve"> </w:t>
    </w:r>
    <w:bookmarkEnd w:id="40"/>
    <w:r w:rsidR="00FE03FE" w:rsidRPr="00E46CF2">
      <w:t xml:space="preserve">• </w:t>
    </w:r>
    <w:bookmarkStart w:id="42" w:name="OFF_EANHIF"/>
    <w:r w:rsidR="00FE03FE" w:rsidRPr="00E46CF2">
      <w:t xml:space="preserve">EAN </w:t>
    </w:r>
    <w:bookmarkStart w:id="43" w:name="OFF_EAN"/>
    <w:r w:rsidRPr="00E46CF2">
      <w:t>5798000877955</w:t>
    </w:r>
    <w:bookmarkEnd w:id="43"/>
    <w:r w:rsidR="00FE03FE" w:rsidRPr="00E46CF2">
      <w:t xml:space="preserve"> </w:t>
    </w:r>
    <w:bookmarkEnd w:id="42"/>
    <w:r w:rsidR="00FE03FE" w:rsidRPr="00E46CF2">
      <w:t xml:space="preserve">• </w:t>
    </w:r>
    <w:bookmarkStart w:id="44" w:name="OFF_Email"/>
    <w:bookmarkStart w:id="45" w:name="OFF_EmailHIF"/>
    <w:r w:rsidRPr="00E46CF2">
      <w:t>mail@lbst.dk</w:t>
    </w:r>
    <w:bookmarkEnd w:id="44"/>
    <w:r w:rsidR="00FE03FE" w:rsidRPr="00E46CF2">
      <w:t xml:space="preserve"> </w:t>
    </w:r>
    <w:bookmarkEnd w:id="45"/>
    <w:r w:rsidR="00FE03FE" w:rsidRPr="00E46CF2">
      <w:t xml:space="preserve">• </w:t>
    </w:r>
    <w:bookmarkStart w:id="46" w:name="OFF_Web"/>
    <w:bookmarkStart w:id="47" w:name="OFF_WebHIF"/>
    <w:r w:rsidRPr="00E46CF2">
      <w:t>www.lbst.dk</w:t>
    </w:r>
    <w:bookmarkEnd w:id="46"/>
    <w:r w:rsidR="00FE03FE" w:rsidRPr="00E46CF2">
      <w:t xml:space="preserve"> </w:t>
    </w:r>
    <w:bookmarkEnd w:id="35"/>
    <w:bookmarkEnd w:id="47"/>
  </w:p>
  <w:bookmarkEnd w:id="23"/>
  <w:p w:rsidR="0048667B" w:rsidRDefault="0048667B">
    <w:pPr>
      <w:pStyle w:val="Sidefod"/>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CF2" w:rsidRDefault="00E46CF2">
      <w:r>
        <w:separator/>
      </w:r>
    </w:p>
  </w:footnote>
  <w:footnote w:type="continuationSeparator" w:id="0">
    <w:p w:rsidR="00E46CF2" w:rsidRDefault="00E46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7B" w:rsidRDefault="000E717B">
    <w:pPr>
      <w:pStyle w:val="Sidehoved"/>
    </w:pPr>
    <w:bookmarkStart w:id="1" w:name="BIT_PrimaryHeader"/>
  </w:p>
  <w:bookmarkEnd w:id="1"/>
  <w:p w:rsidR="005A0290" w:rsidRDefault="005A029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3FE" w:rsidRDefault="00E46CF2" w:rsidP="00CF614F">
    <w:bookmarkStart w:id="2" w:name="CNT_HeaderFirst"/>
    <w:bookmarkStart w:id="3" w:name="FLD_DocumentName"/>
    <w:r>
      <w:rPr>
        <w:noProof/>
      </w:rPr>
      <w:drawing>
        <wp:anchor distT="0" distB="0" distL="114300" distR="114300" simplePos="0" relativeHeight="251660288" behindDoc="0" locked="1" layoutInCell="1" allowOverlap="1">
          <wp:simplePos x="0" y="0"/>
          <wp:positionH relativeFrom="rightMargin">
            <wp:align>right</wp:align>
          </wp:positionH>
          <wp:positionV relativeFrom="page">
            <wp:posOffset>431800</wp:posOffset>
          </wp:positionV>
          <wp:extent cx="2627720" cy="793115"/>
          <wp:effectExtent l="0" t="0" r="0" b="0"/>
          <wp:wrapNone/>
          <wp:docPr id="2"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720" cy="793115"/>
                  </a:xfrm>
                  <a:prstGeom prst="rect">
                    <a:avLst/>
                  </a:prstGeom>
                </pic:spPr>
              </pic:pic>
            </a:graphicData>
          </a:graphic>
          <wp14:sizeRelH relativeFrom="page">
            <wp14:pctWidth>0</wp14:pctWidth>
          </wp14:sizeRelH>
          <wp14:sizeRelV relativeFrom="page">
            <wp14:pctHeight>0</wp14:pctHeight>
          </wp14:sizeRelV>
        </wp:anchor>
      </w:drawing>
    </w:r>
    <w:r w:rsidR="00FE03FE">
      <w:rPr>
        <w:noProof/>
      </w:rPr>
      <mc:AlternateContent>
        <mc:Choice Requires="wps">
          <w:drawing>
            <wp:anchor distT="0" distB="0" distL="114300" distR="114300" simplePos="0" relativeHeight="251659264" behindDoc="0" locked="1" layoutInCell="1" allowOverlap="1" wp14:anchorId="62D967A7" wp14:editId="496A69A1">
              <wp:simplePos x="0" y="0"/>
              <wp:positionH relativeFrom="page">
                <wp:posOffset>5388610</wp:posOffset>
              </wp:positionH>
              <wp:positionV relativeFrom="margin">
                <wp:posOffset>0</wp:posOffset>
              </wp:positionV>
              <wp:extent cx="2015490" cy="876300"/>
              <wp:effectExtent l="0" t="0" r="3810" b="0"/>
              <wp:wrapNone/>
              <wp:docPr id="1" name="Kolofon"/>
              <wp:cNvGraphicFramePr/>
              <a:graphic xmlns:a="http://schemas.openxmlformats.org/drawingml/2006/main">
                <a:graphicData uri="http://schemas.microsoft.com/office/word/2010/wordprocessingShape">
                  <wps:wsp>
                    <wps:cNvSpPr txBox="1"/>
                    <wps:spPr>
                      <a:xfrm>
                        <a:off x="0" y="0"/>
                        <a:ext cx="201549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1985"/>
                          </w:tblGrid>
                          <w:tr w:rsidR="00FE03FE" w:rsidTr="00BA4AB4">
                            <w:trPr>
                              <w:cantSplit/>
                              <w:trHeight w:val="2778"/>
                              <w:hidden/>
                            </w:trPr>
                            <w:tc>
                              <w:tcPr>
                                <w:tcW w:w="1985" w:type="dxa"/>
                                <w:tcMar>
                                  <w:top w:w="34" w:type="dxa"/>
                                  <w:left w:w="0" w:type="dxa"/>
                                  <w:bottom w:w="28" w:type="dxa"/>
                                  <w:right w:w="0" w:type="dxa"/>
                                </w:tcMar>
                              </w:tcPr>
                              <w:p w:rsidR="00FE03FE" w:rsidRPr="00E46CF2" w:rsidRDefault="00FE03FE">
                                <w:pPr>
                                  <w:pStyle w:val="Kolofontekst"/>
                                  <w:rPr>
                                    <w:vanish/>
                                  </w:rPr>
                                </w:pPr>
                                <w:bookmarkStart w:id="4" w:name="OFF_Department"/>
                                <w:bookmarkStart w:id="5" w:name="OFF_DepartmentHIF"/>
                                <w:bookmarkEnd w:id="4"/>
                              </w:p>
                              <w:p w:rsidR="00FE03FE" w:rsidRPr="00E46CF2" w:rsidRDefault="00E46CF2">
                                <w:pPr>
                                  <w:pStyle w:val="Kolofontekst"/>
                                </w:pPr>
                                <w:bookmarkStart w:id="6" w:name="LAN_CaseNo"/>
                                <w:bookmarkStart w:id="7" w:name="sagsnrHIF"/>
                                <w:bookmarkEnd w:id="5"/>
                                <w:r w:rsidRPr="00E46CF2">
                                  <w:t>J.nr.</w:t>
                                </w:r>
                                <w:bookmarkEnd w:id="6"/>
                                <w:r w:rsidR="00FE03FE" w:rsidRPr="00E46CF2">
                                  <w:t xml:space="preserve"> </w:t>
                                </w:r>
                                <w:r w:rsidR="001E2C41">
                                  <w:t>18-3612-000002</w:t>
                                </w:r>
                              </w:p>
                              <w:p w:rsidR="00FE03FE" w:rsidRPr="00E46CF2" w:rsidRDefault="00E46CF2">
                                <w:pPr>
                                  <w:pStyle w:val="Kolofontekst"/>
                                </w:pPr>
                                <w:bookmarkStart w:id="8" w:name="LAN_Ref"/>
                                <w:bookmarkStart w:id="9" w:name="USR_InitialsHIF"/>
                                <w:bookmarkEnd w:id="7"/>
                                <w:r w:rsidRPr="00E46CF2">
                                  <w:t>Ref.</w:t>
                                </w:r>
                                <w:bookmarkEnd w:id="8"/>
                                <w:r w:rsidR="00FE03FE" w:rsidRPr="00E46CF2">
                                  <w:t xml:space="preserve"> </w:t>
                                </w:r>
                                <w:bookmarkStart w:id="10" w:name="USR_Initials"/>
                                <w:r w:rsidRPr="00E46CF2">
                                  <w:t>MEB</w:t>
                                </w:r>
                                <w:bookmarkEnd w:id="10"/>
                              </w:p>
                              <w:p w:rsidR="00FE03FE" w:rsidRDefault="00E46CF2" w:rsidP="001E2C41">
                                <w:pPr>
                                  <w:pStyle w:val="Kolofontekst"/>
                                </w:pPr>
                                <w:bookmarkStart w:id="11" w:name="FLD_DocumentDate"/>
                                <w:bookmarkEnd w:id="9"/>
                                <w:r>
                                  <w:rPr>
                                    <w:noProof/>
                                  </w:rPr>
                                  <w:t xml:space="preserve">Den </w:t>
                                </w:r>
                                <w:bookmarkEnd w:id="11"/>
                                <w:r w:rsidR="001E2C41">
                                  <w:rPr>
                                    <w:noProof/>
                                  </w:rPr>
                                  <w:t>10.januar 2018</w:t>
                                </w:r>
                              </w:p>
                            </w:tc>
                          </w:tr>
                        </w:tbl>
                        <w:p w:rsidR="00FE03FE" w:rsidRDefault="00FE03FE" w:rsidP="00CF614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967A7" id="_x0000_t202" coordsize="21600,21600" o:spt="202" path="m,l,21600r21600,l21600,xe">
              <v:stroke joinstyle="miter"/>
              <v:path gradientshapeok="t" o:connecttype="rect"/>
            </v:shapetype>
            <v:shape id="Kolofon" o:spid="_x0000_s1026" type="#_x0000_t202" style="position:absolute;margin-left:424.3pt;margin-top:0;width:158.7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1985"/>
                    </w:tblGrid>
                    <w:tr w:rsidR="00FE03FE" w:rsidTr="00BA4AB4">
                      <w:trPr>
                        <w:cantSplit/>
                        <w:trHeight w:val="2778"/>
                        <w:hidden/>
                      </w:trPr>
                      <w:tc>
                        <w:tcPr>
                          <w:tcW w:w="1985" w:type="dxa"/>
                          <w:tcMar>
                            <w:top w:w="34" w:type="dxa"/>
                            <w:left w:w="0" w:type="dxa"/>
                            <w:bottom w:w="28" w:type="dxa"/>
                            <w:right w:w="0" w:type="dxa"/>
                          </w:tcMar>
                        </w:tcPr>
                        <w:p w:rsidR="00FE03FE" w:rsidRPr="00E46CF2" w:rsidRDefault="00FE03FE">
                          <w:pPr>
                            <w:pStyle w:val="Kolofontekst"/>
                            <w:rPr>
                              <w:vanish/>
                            </w:rPr>
                          </w:pPr>
                          <w:bookmarkStart w:id="12" w:name="OFF_Department"/>
                          <w:bookmarkStart w:id="13" w:name="OFF_DepartmentHIF"/>
                          <w:bookmarkEnd w:id="12"/>
                        </w:p>
                        <w:p w:rsidR="00FE03FE" w:rsidRPr="00E46CF2" w:rsidRDefault="00E46CF2">
                          <w:pPr>
                            <w:pStyle w:val="Kolofontekst"/>
                          </w:pPr>
                          <w:bookmarkStart w:id="14" w:name="LAN_CaseNo"/>
                          <w:bookmarkStart w:id="15" w:name="sagsnrHIF"/>
                          <w:bookmarkEnd w:id="13"/>
                          <w:r w:rsidRPr="00E46CF2">
                            <w:t>J.nr.</w:t>
                          </w:r>
                          <w:bookmarkEnd w:id="14"/>
                          <w:r w:rsidR="00FE03FE" w:rsidRPr="00E46CF2">
                            <w:t xml:space="preserve"> </w:t>
                          </w:r>
                          <w:r w:rsidR="001E2C41">
                            <w:t>18-3612-000002</w:t>
                          </w:r>
                        </w:p>
                        <w:p w:rsidR="00FE03FE" w:rsidRPr="00E46CF2" w:rsidRDefault="00E46CF2">
                          <w:pPr>
                            <w:pStyle w:val="Kolofontekst"/>
                          </w:pPr>
                          <w:bookmarkStart w:id="16" w:name="LAN_Ref"/>
                          <w:bookmarkStart w:id="17" w:name="USR_InitialsHIF"/>
                          <w:bookmarkEnd w:id="15"/>
                          <w:r w:rsidRPr="00E46CF2">
                            <w:t>Ref.</w:t>
                          </w:r>
                          <w:bookmarkEnd w:id="16"/>
                          <w:r w:rsidR="00FE03FE" w:rsidRPr="00E46CF2">
                            <w:t xml:space="preserve"> </w:t>
                          </w:r>
                          <w:bookmarkStart w:id="18" w:name="USR_Initials"/>
                          <w:r w:rsidRPr="00E46CF2">
                            <w:t>MEB</w:t>
                          </w:r>
                          <w:bookmarkEnd w:id="18"/>
                        </w:p>
                        <w:p w:rsidR="00FE03FE" w:rsidRDefault="00E46CF2" w:rsidP="001E2C41">
                          <w:pPr>
                            <w:pStyle w:val="Kolofontekst"/>
                          </w:pPr>
                          <w:bookmarkStart w:id="19" w:name="FLD_DocumentDate"/>
                          <w:bookmarkEnd w:id="17"/>
                          <w:r>
                            <w:rPr>
                              <w:noProof/>
                            </w:rPr>
                            <w:t xml:space="preserve">Den </w:t>
                          </w:r>
                          <w:bookmarkEnd w:id="19"/>
                          <w:r w:rsidR="001E2C41">
                            <w:rPr>
                              <w:noProof/>
                            </w:rPr>
                            <w:t>10.januar 2018</w:t>
                          </w:r>
                        </w:p>
                      </w:tc>
                    </w:tr>
                  </w:tbl>
                  <w:p w:rsidR="00FE03FE" w:rsidRDefault="00FE03FE" w:rsidP="00CF614F"/>
                </w:txbxContent>
              </v:textbox>
              <w10:wrap anchorx="page" anchory="margin"/>
              <w10:anchorlock/>
            </v:shape>
          </w:pict>
        </mc:Fallback>
      </mc:AlternateContent>
    </w:r>
  </w:p>
  <w:bookmarkEnd w:id="2"/>
  <w:p w:rsidR="00A51DBA" w:rsidRDefault="00FE03FE" w:rsidP="00CF1627">
    <w:pPr>
      <w:pStyle w:val="DocumentName"/>
    </w:pPr>
    <w:r>
      <w:t>Notat</w:t>
    </w: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1D0453"/>
    <w:multiLevelType w:val="hybridMultilevel"/>
    <w:tmpl w:val="10C0FA82"/>
    <w:lvl w:ilvl="0" w:tplc="04060001">
      <w:start w:val="1"/>
      <w:numFmt w:val="bullet"/>
      <w:lvlText w:val=""/>
      <w:lvlJc w:val="left"/>
      <w:pPr>
        <w:ind w:left="1425" w:hanging="360"/>
      </w:pPr>
      <w:rPr>
        <w:rFonts w:ascii="Symbol" w:hAnsi="Symbo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11"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2" w15:restartNumberingAfterBreak="0">
    <w:nsid w:val="2BFA4DDA"/>
    <w:multiLevelType w:val="hybridMultilevel"/>
    <w:tmpl w:val="DC647BB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4"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4CF3E97"/>
    <w:multiLevelType w:val="hybridMultilevel"/>
    <w:tmpl w:val="B59800A2"/>
    <w:lvl w:ilvl="0" w:tplc="3D5EBD68">
      <w:start w:val="1"/>
      <w:numFmt w:val="lowerLetter"/>
      <w:lvlText w:val="%1)"/>
      <w:lvlJc w:val="left"/>
      <w:pPr>
        <w:ind w:left="1065" w:hanging="360"/>
      </w:pPr>
      <w:rPr>
        <w:rFonts w:hint="default"/>
      </w:rPr>
    </w:lvl>
    <w:lvl w:ilvl="1" w:tplc="04060019" w:tentative="1">
      <w:start w:val="1"/>
      <w:numFmt w:val="lowerLetter"/>
      <w:lvlText w:val="%2."/>
      <w:lvlJc w:val="left"/>
      <w:pPr>
        <w:ind w:left="1785" w:hanging="360"/>
      </w:pPr>
    </w:lvl>
    <w:lvl w:ilvl="2" w:tplc="0406001B" w:tentative="1">
      <w:start w:val="1"/>
      <w:numFmt w:val="lowerRoman"/>
      <w:lvlText w:val="%3."/>
      <w:lvlJc w:val="right"/>
      <w:pPr>
        <w:ind w:left="2505" w:hanging="180"/>
      </w:pPr>
    </w:lvl>
    <w:lvl w:ilvl="3" w:tplc="0406000F" w:tentative="1">
      <w:start w:val="1"/>
      <w:numFmt w:val="decimal"/>
      <w:lvlText w:val="%4."/>
      <w:lvlJc w:val="left"/>
      <w:pPr>
        <w:ind w:left="3225" w:hanging="360"/>
      </w:pPr>
    </w:lvl>
    <w:lvl w:ilvl="4" w:tplc="04060019" w:tentative="1">
      <w:start w:val="1"/>
      <w:numFmt w:val="lowerLetter"/>
      <w:lvlText w:val="%5."/>
      <w:lvlJc w:val="left"/>
      <w:pPr>
        <w:ind w:left="3945" w:hanging="360"/>
      </w:pPr>
    </w:lvl>
    <w:lvl w:ilvl="5" w:tplc="0406001B" w:tentative="1">
      <w:start w:val="1"/>
      <w:numFmt w:val="lowerRoman"/>
      <w:lvlText w:val="%6."/>
      <w:lvlJc w:val="right"/>
      <w:pPr>
        <w:ind w:left="4665" w:hanging="180"/>
      </w:pPr>
    </w:lvl>
    <w:lvl w:ilvl="6" w:tplc="0406000F" w:tentative="1">
      <w:start w:val="1"/>
      <w:numFmt w:val="decimal"/>
      <w:lvlText w:val="%7."/>
      <w:lvlJc w:val="left"/>
      <w:pPr>
        <w:ind w:left="5385" w:hanging="360"/>
      </w:pPr>
    </w:lvl>
    <w:lvl w:ilvl="7" w:tplc="04060019" w:tentative="1">
      <w:start w:val="1"/>
      <w:numFmt w:val="lowerLetter"/>
      <w:lvlText w:val="%8."/>
      <w:lvlJc w:val="left"/>
      <w:pPr>
        <w:ind w:left="6105" w:hanging="360"/>
      </w:pPr>
    </w:lvl>
    <w:lvl w:ilvl="8" w:tplc="0406001B" w:tentative="1">
      <w:start w:val="1"/>
      <w:numFmt w:val="lowerRoman"/>
      <w:lvlText w:val="%9."/>
      <w:lvlJc w:val="right"/>
      <w:pPr>
        <w:ind w:left="6825" w:hanging="180"/>
      </w:pPr>
    </w:lvl>
  </w:abstractNum>
  <w:abstractNum w:abstractNumId="16"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C97FF5"/>
    <w:multiLevelType w:val="hybridMultilevel"/>
    <w:tmpl w:val="745A0392"/>
    <w:lvl w:ilvl="0" w:tplc="D92638F4">
      <w:start w:val="10"/>
      <w:numFmt w:val="bullet"/>
      <w:lvlText w:val="-"/>
      <w:lvlJc w:val="left"/>
      <w:pPr>
        <w:ind w:left="720" w:hanging="360"/>
      </w:pPr>
      <w:rPr>
        <w:rFonts w:ascii="Georgia" w:eastAsia="Times New Roman" w:hAnsi="Georgia" w:cs="Times New Roman"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94E158A"/>
    <w:multiLevelType w:val="hybridMultilevel"/>
    <w:tmpl w:val="1A3E2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4C27829"/>
    <w:multiLevelType w:val="hybridMultilevel"/>
    <w:tmpl w:val="288263F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B757BEB"/>
    <w:multiLevelType w:val="hybridMultilevel"/>
    <w:tmpl w:val="11E49D4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DEB7DE3"/>
    <w:multiLevelType w:val="hybridMultilevel"/>
    <w:tmpl w:val="9698B88E"/>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9"/>
  </w:num>
  <w:num w:numId="12">
    <w:abstractNumId w:val="16"/>
  </w:num>
  <w:num w:numId="13">
    <w:abstractNumId w:val="14"/>
  </w:num>
  <w:num w:numId="14">
    <w:abstractNumId w:val="8"/>
  </w:num>
  <w:num w:numId="15">
    <w:abstractNumId w:val="15"/>
  </w:num>
  <w:num w:numId="16">
    <w:abstractNumId w:val="20"/>
  </w:num>
  <w:num w:numId="17">
    <w:abstractNumId w:val="10"/>
  </w:num>
  <w:num w:numId="18">
    <w:abstractNumId w:val="21"/>
  </w:num>
  <w:num w:numId="19">
    <w:abstractNumId w:val="17"/>
  </w:num>
  <w:num w:numId="20">
    <w:abstractNumId w:val="12"/>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FE"/>
    <w:rsid w:val="00002EA0"/>
    <w:rsid w:val="00003636"/>
    <w:rsid w:val="00005FAA"/>
    <w:rsid w:val="000069D8"/>
    <w:rsid w:val="00010163"/>
    <w:rsid w:val="0001457C"/>
    <w:rsid w:val="0001528D"/>
    <w:rsid w:val="000166A0"/>
    <w:rsid w:val="00021E8C"/>
    <w:rsid w:val="00030051"/>
    <w:rsid w:val="00037E7E"/>
    <w:rsid w:val="00060BC5"/>
    <w:rsid w:val="000647F2"/>
    <w:rsid w:val="00070BA1"/>
    <w:rsid w:val="00072E8B"/>
    <w:rsid w:val="00073466"/>
    <w:rsid w:val="00074F1A"/>
    <w:rsid w:val="000758FD"/>
    <w:rsid w:val="00082404"/>
    <w:rsid w:val="000825EC"/>
    <w:rsid w:val="00086B6B"/>
    <w:rsid w:val="00096AA1"/>
    <w:rsid w:val="000A1C92"/>
    <w:rsid w:val="000A26F5"/>
    <w:rsid w:val="000A7219"/>
    <w:rsid w:val="000B1016"/>
    <w:rsid w:val="000B1B74"/>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0C04"/>
    <w:rsid w:val="000E3992"/>
    <w:rsid w:val="000E4332"/>
    <w:rsid w:val="000E717B"/>
    <w:rsid w:val="000F0B81"/>
    <w:rsid w:val="001062D0"/>
    <w:rsid w:val="00114DE6"/>
    <w:rsid w:val="001210A9"/>
    <w:rsid w:val="00133780"/>
    <w:rsid w:val="001354CC"/>
    <w:rsid w:val="0014150F"/>
    <w:rsid w:val="00144670"/>
    <w:rsid w:val="0014616C"/>
    <w:rsid w:val="00147799"/>
    <w:rsid w:val="00150899"/>
    <w:rsid w:val="00152CB8"/>
    <w:rsid w:val="00156908"/>
    <w:rsid w:val="00160721"/>
    <w:rsid w:val="001743E7"/>
    <w:rsid w:val="00183D05"/>
    <w:rsid w:val="001A0525"/>
    <w:rsid w:val="001A4CEE"/>
    <w:rsid w:val="001A4D56"/>
    <w:rsid w:val="001A58BF"/>
    <w:rsid w:val="001A6CB5"/>
    <w:rsid w:val="001A7E4B"/>
    <w:rsid w:val="001B3F10"/>
    <w:rsid w:val="001B72A9"/>
    <w:rsid w:val="001C2544"/>
    <w:rsid w:val="001C417D"/>
    <w:rsid w:val="001C4328"/>
    <w:rsid w:val="001C7630"/>
    <w:rsid w:val="001D1196"/>
    <w:rsid w:val="001D19D8"/>
    <w:rsid w:val="001E2C41"/>
    <w:rsid w:val="001E38EF"/>
    <w:rsid w:val="001E7A98"/>
    <w:rsid w:val="001E7F16"/>
    <w:rsid w:val="001F3A47"/>
    <w:rsid w:val="001F763E"/>
    <w:rsid w:val="00200B86"/>
    <w:rsid w:val="0020134B"/>
    <w:rsid w:val="0020402C"/>
    <w:rsid w:val="002044E3"/>
    <w:rsid w:val="00204BF4"/>
    <w:rsid w:val="00206632"/>
    <w:rsid w:val="00207F46"/>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268E"/>
    <w:rsid w:val="002D7F0F"/>
    <w:rsid w:val="003001A2"/>
    <w:rsid w:val="00310943"/>
    <w:rsid w:val="00310C3C"/>
    <w:rsid w:val="00313642"/>
    <w:rsid w:val="00315AC9"/>
    <w:rsid w:val="00320951"/>
    <w:rsid w:val="003209AA"/>
    <w:rsid w:val="00322BBE"/>
    <w:rsid w:val="00326ED5"/>
    <w:rsid w:val="00331970"/>
    <w:rsid w:val="00334562"/>
    <w:rsid w:val="00343A37"/>
    <w:rsid w:val="00345FA9"/>
    <w:rsid w:val="003465B4"/>
    <w:rsid w:val="00350582"/>
    <w:rsid w:val="00353FAA"/>
    <w:rsid w:val="003558D9"/>
    <w:rsid w:val="003566A3"/>
    <w:rsid w:val="00362EAC"/>
    <w:rsid w:val="003636BF"/>
    <w:rsid w:val="00365BC4"/>
    <w:rsid w:val="003819FF"/>
    <w:rsid w:val="00385C06"/>
    <w:rsid w:val="003864CC"/>
    <w:rsid w:val="00386D0C"/>
    <w:rsid w:val="003966D8"/>
    <w:rsid w:val="00397271"/>
    <w:rsid w:val="003A0376"/>
    <w:rsid w:val="003A3350"/>
    <w:rsid w:val="003A3369"/>
    <w:rsid w:val="003A44A9"/>
    <w:rsid w:val="003B6C74"/>
    <w:rsid w:val="003C67E6"/>
    <w:rsid w:val="003D3CB2"/>
    <w:rsid w:val="003D4C85"/>
    <w:rsid w:val="003D518E"/>
    <w:rsid w:val="003D5928"/>
    <w:rsid w:val="003E06B4"/>
    <w:rsid w:val="003E09D1"/>
    <w:rsid w:val="003E1377"/>
    <w:rsid w:val="003E3617"/>
    <w:rsid w:val="003F0D75"/>
    <w:rsid w:val="003F319A"/>
    <w:rsid w:val="0040506D"/>
    <w:rsid w:val="00406784"/>
    <w:rsid w:val="00406AF1"/>
    <w:rsid w:val="00407C2F"/>
    <w:rsid w:val="0041385B"/>
    <w:rsid w:val="00415BC0"/>
    <w:rsid w:val="004208E6"/>
    <w:rsid w:val="004232F9"/>
    <w:rsid w:val="00433A1E"/>
    <w:rsid w:val="00440668"/>
    <w:rsid w:val="004421D7"/>
    <w:rsid w:val="00447B83"/>
    <w:rsid w:val="00450475"/>
    <w:rsid w:val="004561B3"/>
    <w:rsid w:val="00457882"/>
    <w:rsid w:val="00460B5A"/>
    <w:rsid w:val="0046600E"/>
    <w:rsid w:val="00467E79"/>
    <w:rsid w:val="00473F7F"/>
    <w:rsid w:val="00476722"/>
    <w:rsid w:val="00481EEB"/>
    <w:rsid w:val="0048414C"/>
    <w:rsid w:val="0048667B"/>
    <w:rsid w:val="00495993"/>
    <w:rsid w:val="004979B6"/>
    <w:rsid w:val="004A3AAA"/>
    <w:rsid w:val="004A4315"/>
    <w:rsid w:val="004B5995"/>
    <w:rsid w:val="004B5AC3"/>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06FB6"/>
    <w:rsid w:val="0051781E"/>
    <w:rsid w:val="00520971"/>
    <w:rsid w:val="005267CB"/>
    <w:rsid w:val="005271D6"/>
    <w:rsid w:val="00531869"/>
    <w:rsid w:val="00535B7D"/>
    <w:rsid w:val="0053660A"/>
    <w:rsid w:val="00541D1B"/>
    <w:rsid w:val="00550D85"/>
    <w:rsid w:val="00554FAA"/>
    <w:rsid w:val="00557A69"/>
    <w:rsid w:val="005630B4"/>
    <w:rsid w:val="00563773"/>
    <w:rsid w:val="005650F2"/>
    <w:rsid w:val="005672CB"/>
    <w:rsid w:val="00567BA1"/>
    <w:rsid w:val="00576B90"/>
    <w:rsid w:val="0058155D"/>
    <w:rsid w:val="00590A5B"/>
    <w:rsid w:val="00590C13"/>
    <w:rsid w:val="0059175F"/>
    <w:rsid w:val="0059560E"/>
    <w:rsid w:val="00596C25"/>
    <w:rsid w:val="005A01E1"/>
    <w:rsid w:val="005A0290"/>
    <w:rsid w:val="005A1F29"/>
    <w:rsid w:val="005A29CB"/>
    <w:rsid w:val="005A50B9"/>
    <w:rsid w:val="005C50DF"/>
    <w:rsid w:val="005C51A1"/>
    <w:rsid w:val="005D2B26"/>
    <w:rsid w:val="005D3CF2"/>
    <w:rsid w:val="005D543F"/>
    <w:rsid w:val="005D7152"/>
    <w:rsid w:val="005E352B"/>
    <w:rsid w:val="005E4484"/>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B23A4"/>
    <w:rsid w:val="006D09A7"/>
    <w:rsid w:val="006E7F1D"/>
    <w:rsid w:val="006F3EB3"/>
    <w:rsid w:val="006F4577"/>
    <w:rsid w:val="006F4DCD"/>
    <w:rsid w:val="00702FF2"/>
    <w:rsid w:val="00703B66"/>
    <w:rsid w:val="00705800"/>
    <w:rsid w:val="00705EAB"/>
    <w:rsid w:val="00723455"/>
    <w:rsid w:val="00724762"/>
    <w:rsid w:val="00724D6D"/>
    <w:rsid w:val="0073474C"/>
    <w:rsid w:val="0073754C"/>
    <w:rsid w:val="007424C6"/>
    <w:rsid w:val="00743553"/>
    <w:rsid w:val="0074716F"/>
    <w:rsid w:val="0074737F"/>
    <w:rsid w:val="00753673"/>
    <w:rsid w:val="007540BD"/>
    <w:rsid w:val="00762205"/>
    <w:rsid w:val="0076323D"/>
    <w:rsid w:val="00764201"/>
    <w:rsid w:val="007830BE"/>
    <w:rsid w:val="007940C9"/>
    <w:rsid w:val="00796312"/>
    <w:rsid w:val="007A00E9"/>
    <w:rsid w:val="007A04FE"/>
    <w:rsid w:val="007B1B23"/>
    <w:rsid w:val="007B21FA"/>
    <w:rsid w:val="007B2ADE"/>
    <w:rsid w:val="007B3940"/>
    <w:rsid w:val="007B5F9C"/>
    <w:rsid w:val="007D3890"/>
    <w:rsid w:val="007D492E"/>
    <w:rsid w:val="007E0C49"/>
    <w:rsid w:val="007E3A3B"/>
    <w:rsid w:val="007E51F2"/>
    <w:rsid w:val="007E5E97"/>
    <w:rsid w:val="007E7688"/>
    <w:rsid w:val="007F340F"/>
    <w:rsid w:val="007F4A4B"/>
    <w:rsid w:val="007F73B3"/>
    <w:rsid w:val="007F770C"/>
    <w:rsid w:val="0080139B"/>
    <w:rsid w:val="00802CB9"/>
    <w:rsid w:val="00807BA4"/>
    <w:rsid w:val="0081105F"/>
    <w:rsid w:val="00821133"/>
    <w:rsid w:val="008236B5"/>
    <w:rsid w:val="008324B0"/>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A4864"/>
    <w:rsid w:val="008A6D27"/>
    <w:rsid w:val="008B1B83"/>
    <w:rsid w:val="008B3ADA"/>
    <w:rsid w:val="008C0C0C"/>
    <w:rsid w:val="008C5F4A"/>
    <w:rsid w:val="008E3990"/>
    <w:rsid w:val="008F272E"/>
    <w:rsid w:val="008F6B2B"/>
    <w:rsid w:val="00905C37"/>
    <w:rsid w:val="00906916"/>
    <w:rsid w:val="0092514B"/>
    <w:rsid w:val="009264AA"/>
    <w:rsid w:val="009354A9"/>
    <w:rsid w:val="00944EE8"/>
    <w:rsid w:val="009461F0"/>
    <w:rsid w:val="009601F5"/>
    <w:rsid w:val="00963DC8"/>
    <w:rsid w:val="00963E43"/>
    <w:rsid w:val="00970F21"/>
    <w:rsid w:val="00975F3B"/>
    <w:rsid w:val="0098382A"/>
    <w:rsid w:val="009943CD"/>
    <w:rsid w:val="00994E91"/>
    <w:rsid w:val="009C37F8"/>
    <w:rsid w:val="009C6BB2"/>
    <w:rsid w:val="009E27B6"/>
    <w:rsid w:val="009E5928"/>
    <w:rsid w:val="009E7920"/>
    <w:rsid w:val="009F368F"/>
    <w:rsid w:val="009F4367"/>
    <w:rsid w:val="009F7033"/>
    <w:rsid w:val="00A03CE6"/>
    <w:rsid w:val="00A03E48"/>
    <w:rsid w:val="00A11F5A"/>
    <w:rsid w:val="00A158CB"/>
    <w:rsid w:val="00A34B40"/>
    <w:rsid w:val="00A36292"/>
    <w:rsid w:val="00A36D64"/>
    <w:rsid w:val="00A44A6B"/>
    <w:rsid w:val="00A51DBA"/>
    <w:rsid w:val="00A5408B"/>
    <w:rsid w:val="00A556CE"/>
    <w:rsid w:val="00A67D37"/>
    <w:rsid w:val="00A72DDE"/>
    <w:rsid w:val="00A83AFB"/>
    <w:rsid w:val="00A85ECD"/>
    <w:rsid w:val="00A923E2"/>
    <w:rsid w:val="00A964CE"/>
    <w:rsid w:val="00A96C60"/>
    <w:rsid w:val="00AA4437"/>
    <w:rsid w:val="00AB363A"/>
    <w:rsid w:val="00AC35D6"/>
    <w:rsid w:val="00AD678B"/>
    <w:rsid w:val="00AE41A1"/>
    <w:rsid w:val="00AE5A17"/>
    <w:rsid w:val="00AF5AF6"/>
    <w:rsid w:val="00B13BB6"/>
    <w:rsid w:val="00B2565D"/>
    <w:rsid w:val="00B2710D"/>
    <w:rsid w:val="00B30727"/>
    <w:rsid w:val="00B358B3"/>
    <w:rsid w:val="00B441D7"/>
    <w:rsid w:val="00B54207"/>
    <w:rsid w:val="00B67E21"/>
    <w:rsid w:val="00B734BB"/>
    <w:rsid w:val="00B77950"/>
    <w:rsid w:val="00B80700"/>
    <w:rsid w:val="00B86940"/>
    <w:rsid w:val="00B87347"/>
    <w:rsid w:val="00B90A33"/>
    <w:rsid w:val="00B91712"/>
    <w:rsid w:val="00B91D48"/>
    <w:rsid w:val="00B932C3"/>
    <w:rsid w:val="00B9526E"/>
    <w:rsid w:val="00BA4AB4"/>
    <w:rsid w:val="00BA7059"/>
    <w:rsid w:val="00BA7C98"/>
    <w:rsid w:val="00BB40C8"/>
    <w:rsid w:val="00BB6985"/>
    <w:rsid w:val="00BC1C77"/>
    <w:rsid w:val="00BC6602"/>
    <w:rsid w:val="00BD3A32"/>
    <w:rsid w:val="00BD787B"/>
    <w:rsid w:val="00BE0CE4"/>
    <w:rsid w:val="00BE7D68"/>
    <w:rsid w:val="00BF101A"/>
    <w:rsid w:val="00C03ED1"/>
    <w:rsid w:val="00C1503E"/>
    <w:rsid w:val="00C16955"/>
    <w:rsid w:val="00C21584"/>
    <w:rsid w:val="00C2184A"/>
    <w:rsid w:val="00C22C94"/>
    <w:rsid w:val="00C26117"/>
    <w:rsid w:val="00C336C4"/>
    <w:rsid w:val="00C3559B"/>
    <w:rsid w:val="00C41BBD"/>
    <w:rsid w:val="00C44620"/>
    <w:rsid w:val="00C5322A"/>
    <w:rsid w:val="00C53CED"/>
    <w:rsid w:val="00C57362"/>
    <w:rsid w:val="00C57CA7"/>
    <w:rsid w:val="00C617FE"/>
    <w:rsid w:val="00C64F3D"/>
    <w:rsid w:val="00C7051E"/>
    <w:rsid w:val="00C70BEA"/>
    <w:rsid w:val="00C71B04"/>
    <w:rsid w:val="00C766CC"/>
    <w:rsid w:val="00C76B7D"/>
    <w:rsid w:val="00C8406C"/>
    <w:rsid w:val="00C87AAA"/>
    <w:rsid w:val="00CA543F"/>
    <w:rsid w:val="00CA6429"/>
    <w:rsid w:val="00CA6ADF"/>
    <w:rsid w:val="00CB5C14"/>
    <w:rsid w:val="00CC12A8"/>
    <w:rsid w:val="00CC6892"/>
    <w:rsid w:val="00CC77A5"/>
    <w:rsid w:val="00CD31FE"/>
    <w:rsid w:val="00CD4F1D"/>
    <w:rsid w:val="00CE1EC6"/>
    <w:rsid w:val="00CE5201"/>
    <w:rsid w:val="00CF1627"/>
    <w:rsid w:val="00CF2263"/>
    <w:rsid w:val="00CF614F"/>
    <w:rsid w:val="00CF760D"/>
    <w:rsid w:val="00D008ED"/>
    <w:rsid w:val="00D01984"/>
    <w:rsid w:val="00D01EDA"/>
    <w:rsid w:val="00D12F78"/>
    <w:rsid w:val="00D16472"/>
    <w:rsid w:val="00D321C9"/>
    <w:rsid w:val="00D37FC2"/>
    <w:rsid w:val="00D43DB0"/>
    <w:rsid w:val="00D570C5"/>
    <w:rsid w:val="00D922CF"/>
    <w:rsid w:val="00D951B4"/>
    <w:rsid w:val="00DA32B3"/>
    <w:rsid w:val="00DA6734"/>
    <w:rsid w:val="00DB56B3"/>
    <w:rsid w:val="00DE24BE"/>
    <w:rsid w:val="00DE5B21"/>
    <w:rsid w:val="00DE7479"/>
    <w:rsid w:val="00DF128B"/>
    <w:rsid w:val="00DF2F94"/>
    <w:rsid w:val="00E11688"/>
    <w:rsid w:val="00E26EAA"/>
    <w:rsid w:val="00E27CC3"/>
    <w:rsid w:val="00E30FCA"/>
    <w:rsid w:val="00E36F97"/>
    <w:rsid w:val="00E42057"/>
    <w:rsid w:val="00E44C4F"/>
    <w:rsid w:val="00E46CF2"/>
    <w:rsid w:val="00E62BEE"/>
    <w:rsid w:val="00E63075"/>
    <w:rsid w:val="00E644BF"/>
    <w:rsid w:val="00E73A40"/>
    <w:rsid w:val="00E806E3"/>
    <w:rsid w:val="00E81697"/>
    <w:rsid w:val="00E83744"/>
    <w:rsid w:val="00E928D4"/>
    <w:rsid w:val="00E94852"/>
    <w:rsid w:val="00EA4D25"/>
    <w:rsid w:val="00EA576F"/>
    <w:rsid w:val="00EB0255"/>
    <w:rsid w:val="00EB3838"/>
    <w:rsid w:val="00EB4C77"/>
    <w:rsid w:val="00EB68CC"/>
    <w:rsid w:val="00EC2095"/>
    <w:rsid w:val="00EC5E51"/>
    <w:rsid w:val="00EC76B0"/>
    <w:rsid w:val="00ED48AE"/>
    <w:rsid w:val="00EE65A7"/>
    <w:rsid w:val="00EF48EC"/>
    <w:rsid w:val="00EF6016"/>
    <w:rsid w:val="00F03C9A"/>
    <w:rsid w:val="00F05E03"/>
    <w:rsid w:val="00F2061A"/>
    <w:rsid w:val="00F30057"/>
    <w:rsid w:val="00F31EFD"/>
    <w:rsid w:val="00F34750"/>
    <w:rsid w:val="00F44CF6"/>
    <w:rsid w:val="00F46114"/>
    <w:rsid w:val="00F47B3A"/>
    <w:rsid w:val="00F602C8"/>
    <w:rsid w:val="00F62595"/>
    <w:rsid w:val="00F7168A"/>
    <w:rsid w:val="00F71904"/>
    <w:rsid w:val="00F71C13"/>
    <w:rsid w:val="00F77228"/>
    <w:rsid w:val="00F81C26"/>
    <w:rsid w:val="00F83DEE"/>
    <w:rsid w:val="00F90567"/>
    <w:rsid w:val="00F908EE"/>
    <w:rsid w:val="00F91352"/>
    <w:rsid w:val="00F922ED"/>
    <w:rsid w:val="00FB7ADE"/>
    <w:rsid w:val="00FC164F"/>
    <w:rsid w:val="00FD2036"/>
    <w:rsid w:val="00FE03FE"/>
    <w:rsid w:val="00FE45B3"/>
    <w:rsid w:val="00FE7E77"/>
    <w:rsid w:val="00FF192E"/>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38D631-F3D4-4F74-8885-63C040FE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A7B5"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A7B5"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A7B5"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A7B5"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A7B5"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A7B5"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A7B5" w:themeColor="accent1" w:shadow="1"/>
        <w:left w:val="single" w:sz="2" w:space="10" w:color="00A7B5" w:themeColor="accent1" w:shadow="1"/>
        <w:bottom w:val="single" w:sz="2" w:space="10" w:color="00A7B5" w:themeColor="accent1" w:shadow="1"/>
        <w:right w:val="single" w:sz="2" w:space="10" w:color="00A7B5" w:themeColor="accent1" w:shadow="1"/>
      </w:pBdr>
      <w:ind w:left="1152" w:right="1152"/>
    </w:pPr>
    <w:rPr>
      <w:rFonts w:asciiTheme="minorHAnsi" w:eastAsiaTheme="minorEastAsia" w:hAnsiTheme="minorHAnsi" w:cstheme="minorBidi"/>
      <w:i/>
      <w:iCs/>
      <w:color w:val="00A7B5"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9FF" w:themeFill="accent1" w:themeFillTint="33"/>
    </w:tcPr>
    <w:tblStylePr w:type="firstRow">
      <w:rPr>
        <w:b/>
        <w:bCs/>
      </w:rPr>
      <w:tblPr/>
      <w:tcPr>
        <w:shd w:val="clear" w:color="auto" w:fill="7BF4FF" w:themeFill="accent1" w:themeFillTint="66"/>
      </w:tcPr>
    </w:tblStylePr>
    <w:tblStylePr w:type="lastRow">
      <w:rPr>
        <w:b/>
        <w:bCs/>
        <w:color w:val="000000" w:themeColor="text1"/>
      </w:rPr>
      <w:tblPr/>
      <w:tcPr>
        <w:shd w:val="clear" w:color="auto" w:fill="7BF4FF" w:themeFill="accent1" w:themeFillTint="66"/>
      </w:tcPr>
    </w:tblStylePr>
    <w:tblStylePr w:type="firstCol">
      <w:rPr>
        <w:color w:val="FFFFFF" w:themeColor="background1"/>
      </w:rPr>
      <w:tblPr/>
      <w:tcPr>
        <w:shd w:val="clear" w:color="auto" w:fill="007C87" w:themeFill="accent1" w:themeFillShade="BF"/>
      </w:tcPr>
    </w:tblStylePr>
    <w:tblStylePr w:type="lastCol">
      <w:rPr>
        <w:color w:val="FFFFFF" w:themeColor="background1"/>
      </w:rPr>
      <w:tblPr/>
      <w:tcPr>
        <w:shd w:val="clear" w:color="auto" w:fill="007C87" w:themeFill="accent1" w:themeFillShade="BF"/>
      </w:tc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EC" w:themeFill="accent3" w:themeFillTint="33"/>
    </w:tcPr>
    <w:tblStylePr w:type="firstRow">
      <w:rPr>
        <w:b/>
        <w:bCs/>
      </w:rPr>
      <w:tblPr/>
      <w:tcPr>
        <w:shd w:val="clear" w:color="auto" w:fill="A9E7D9" w:themeFill="accent3" w:themeFillTint="66"/>
      </w:tcPr>
    </w:tblStylePr>
    <w:tblStylePr w:type="lastRow">
      <w:rPr>
        <w:b/>
        <w:bCs/>
        <w:color w:val="000000" w:themeColor="text1"/>
      </w:rPr>
      <w:tblPr/>
      <w:tcPr>
        <w:shd w:val="clear" w:color="auto" w:fill="A9E7D9" w:themeFill="accent3" w:themeFillTint="66"/>
      </w:tcPr>
    </w:tblStylePr>
    <w:tblStylePr w:type="firstCol">
      <w:rPr>
        <w:color w:val="FFFFFF" w:themeColor="background1"/>
      </w:rPr>
      <w:tblPr/>
      <w:tcPr>
        <w:shd w:val="clear" w:color="auto" w:fill="268A73" w:themeFill="accent3" w:themeFillShade="BF"/>
      </w:tcPr>
    </w:tblStylePr>
    <w:tblStylePr w:type="lastCol">
      <w:rPr>
        <w:color w:val="FFFFFF" w:themeColor="background1"/>
      </w:rPr>
      <w:tblPr/>
      <w:tcPr>
        <w:shd w:val="clear" w:color="auto" w:fill="268A73" w:themeFill="accent3" w:themeFillShade="BF"/>
      </w:tc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5" w:themeFillTint="33"/>
    </w:tcPr>
    <w:tblStylePr w:type="firstRow">
      <w:rPr>
        <w:b/>
        <w:bCs/>
      </w:rPr>
      <w:tblPr/>
      <w:tcPr>
        <w:shd w:val="clear" w:color="auto" w:fill="F8F0C4" w:themeFill="accent5" w:themeFillTint="66"/>
      </w:tcPr>
    </w:tblStylePr>
    <w:tblStylePr w:type="lastRow">
      <w:rPr>
        <w:b/>
        <w:bCs/>
        <w:color w:val="000000" w:themeColor="text1"/>
      </w:rPr>
      <w:tblPr/>
      <w:tcPr>
        <w:shd w:val="clear" w:color="auto" w:fill="F8F0C4" w:themeFill="accent5" w:themeFillTint="66"/>
      </w:tcPr>
    </w:tblStylePr>
    <w:tblStylePr w:type="firstCol">
      <w:rPr>
        <w:color w:val="FFFFFF" w:themeColor="background1"/>
      </w:rPr>
      <w:tblPr/>
      <w:tcPr>
        <w:shd w:val="clear" w:color="auto" w:fill="E6C71D" w:themeFill="accent5" w:themeFillShade="BF"/>
      </w:tcPr>
    </w:tblStylePr>
    <w:tblStylePr w:type="lastCol">
      <w:rPr>
        <w:color w:val="FFFFFF" w:themeColor="background1"/>
      </w:rPr>
      <w:tblPr/>
      <w:tcPr>
        <w:shd w:val="clear" w:color="auto" w:fill="E6C71D" w:themeFill="accent5" w:themeFillShade="BF"/>
      </w:tc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EFCFF"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1" w:themeFillTint="3F"/>
      </w:tcPr>
    </w:tblStylePr>
    <w:tblStylePr w:type="band1Horz">
      <w:tblPr/>
      <w:tcPr>
        <w:shd w:val="clear" w:color="auto" w:fill="BDF9FF"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9F9F5"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7" w:themeFill="accent3" w:themeFillTint="3F"/>
      </w:tcPr>
    </w:tblStylePr>
    <w:tblStylePr w:type="band1Horz">
      <w:tblPr/>
      <w:tcPr>
        <w:shd w:val="clear" w:color="auto" w:fill="D3F3EC"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7B" w:themeFill="accent3" w:themeFillShade="CC"/>
      </w:tcPr>
    </w:tblStylePr>
    <w:tblStylePr w:type="lastRow">
      <w:rPr>
        <w:b/>
        <w:bCs/>
        <w:color w:val="289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5" w:themeFillTint="3F"/>
      </w:tcPr>
    </w:tblStylePr>
    <w:tblStylePr w:type="band1Horz">
      <w:tblPr/>
      <w:tcPr>
        <w:shd w:val="clear" w:color="auto" w:fill="FBF7E1"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E8CB2D" w:themeFill="accent5" w:themeFillShade="CC"/>
      </w:tcPr>
    </w:tblStylePr>
    <w:tblStylePr w:type="lastRow">
      <w:rPr>
        <w:b/>
        <w:bCs/>
        <w:color w:val="E8CB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A7B5" w:themeColor="accent1"/>
        <w:bottom w:val="single" w:sz="4" w:space="0" w:color="00A7B5" w:themeColor="accent1"/>
        <w:right w:val="single" w:sz="4" w:space="0" w:color="00A7B5" w:themeColor="accent1"/>
        <w:insideH w:val="single" w:sz="4" w:space="0" w:color="FFFFFF" w:themeColor="background1"/>
        <w:insideV w:val="single" w:sz="4" w:space="0" w:color="FFFFFF" w:themeColor="background1"/>
      </w:tblBorders>
    </w:tblPr>
    <w:tcPr>
      <w:shd w:val="clear" w:color="auto" w:fill="DEFCFF"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1" w:themeFillShade="99"/>
      </w:tcPr>
    </w:tblStylePr>
    <w:tblStylePr w:type="firstCol">
      <w:rPr>
        <w:color w:val="FFFFFF" w:themeColor="background1"/>
      </w:rPr>
      <w:tblPr/>
      <w:tcPr>
        <w:tcBorders>
          <w:top w:val="nil"/>
          <w:left w:val="nil"/>
          <w:bottom w:val="nil"/>
          <w:right w:val="nil"/>
          <w:insideH w:val="single" w:sz="4" w:space="0" w:color="00636C" w:themeColor="accent1" w:themeShade="99"/>
          <w:insideV w:val="nil"/>
        </w:tcBorders>
        <w:shd w:val="clear" w:color="auto" w:fill="0063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1" w:themeFillShade="99"/>
      </w:tcPr>
    </w:tblStylePr>
    <w:tblStylePr w:type="band1Vert">
      <w:tblPr/>
      <w:tcPr>
        <w:shd w:val="clear" w:color="auto" w:fill="7BF4FF" w:themeFill="accent1" w:themeFillTint="66"/>
      </w:tcPr>
    </w:tblStylePr>
    <w:tblStylePr w:type="band1Horz">
      <w:tblPr/>
      <w:tcPr>
        <w:shd w:val="clear" w:color="auto" w:fill="5BF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9B" w:themeColor="accent3"/>
        <w:bottom w:val="single" w:sz="4" w:space="0" w:color="33B99B" w:themeColor="accent3"/>
        <w:right w:val="single" w:sz="4" w:space="0" w:color="33B99B" w:themeColor="accent3"/>
        <w:insideH w:val="single" w:sz="4" w:space="0" w:color="FFFFFF" w:themeColor="background1"/>
        <w:insideV w:val="single" w:sz="4" w:space="0" w:color="FFFFFF" w:themeColor="background1"/>
      </w:tblBorders>
    </w:tblPr>
    <w:tcPr>
      <w:shd w:val="clear" w:color="auto" w:fill="E9F9F5"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5C" w:themeFill="accent3" w:themeFillShade="99"/>
      </w:tcPr>
    </w:tblStylePr>
    <w:tblStylePr w:type="firstCol">
      <w:rPr>
        <w:color w:val="FFFFFF" w:themeColor="background1"/>
      </w:rPr>
      <w:tblPr/>
      <w:tcPr>
        <w:tcBorders>
          <w:top w:val="nil"/>
          <w:left w:val="nil"/>
          <w:bottom w:val="nil"/>
          <w:right w:val="nil"/>
          <w:insideH w:val="single" w:sz="4" w:space="0" w:color="1E6E5C" w:themeColor="accent3" w:themeShade="99"/>
          <w:insideV w:val="nil"/>
        </w:tcBorders>
        <w:shd w:val="clear" w:color="auto" w:fill="1E6E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5C" w:themeFill="accent3" w:themeFillShade="99"/>
      </w:tcPr>
    </w:tblStylePr>
    <w:tblStylePr w:type="band1Vert">
      <w:tblPr/>
      <w:tcPr>
        <w:shd w:val="clear" w:color="auto" w:fill="A9E7D9" w:themeFill="accent3" w:themeFillTint="66"/>
      </w:tcPr>
    </w:tblStylePr>
    <w:tblStylePr w:type="band1Horz">
      <w:tblPr/>
      <w:tcPr>
        <w:shd w:val="clear" w:color="auto" w:fill="93E1C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9B"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6"/>
        <w:left w:val="single" w:sz="4" w:space="0" w:color="EFDB6C" w:themeColor="accent5"/>
        <w:bottom w:val="single" w:sz="4" w:space="0" w:color="EFDB6C" w:themeColor="accent5"/>
        <w:right w:val="single" w:sz="4" w:space="0" w:color="EFDB6C" w:themeColor="accent5"/>
        <w:insideH w:val="single" w:sz="4" w:space="0" w:color="FFFFFF" w:themeColor="background1"/>
        <w:insideV w:val="single" w:sz="4" w:space="0" w:color="FFFFFF" w:themeColor="background1"/>
      </w:tblBorders>
    </w:tblPr>
    <w:tcPr>
      <w:shd w:val="clear" w:color="auto" w:fill="FDFBF0"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5" w:themeFillShade="99"/>
      </w:tcPr>
    </w:tblStylePr>
    <w:tblStylePr w:type="firstCol">
      <w:rPr>
        <w:color w:val="FFFFFF" w:themeColor="background1"/>
      </w:rPr>
      <w:tblPr/>
      <w:tcPr>
        <w:tcBorders>
          <w:top w:val="nil"/>
          <w:left w:val="nil"/>
          <w:bottom w:val="nil"/>
          <w:right w:val="nil"/>
          <w:insideH w:val="single" w:sz="4" w:space="0" w:color="BBA114" w:themeColor="accent5" w:themeShade="99"/>
          <w:insideV w:val="nil"/>
        </w:tcBorders>
        <w:shd w:val="clear" w:color="auto" w:fill="BBA1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5" w:themeFillShade="99"/>
      </w:tcPr>
    </w:tblStylePr>
    <w:tblStylePr w:type="band1Vert">
      <w:tblPr/>
      <w:tcPr>
        <w:shd w:val="clear" w:color="auto" w:fill="F8F0C4" w:themeFill="accent5" w:themeFillTint="66"/>
      </w:tcPr>
    </w:tblStylePr>
    <w:tblStylePr w:type="band1Horz">
      <w:tblPr/>
      <w:tcPr>
        <w:shd w:val="clear" w:color="auto" w:fill="F7EDB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Pr>
    <w:tcPr>
      <w:shd w:val="clear" w:color="auto" w:fill="EEE6F4" w:themeFill="accent6" w:themeFillTint="19"/>
    </w:tcPr>
    <w:tblStylePr w:type="firstRow">
      <w:rPr>
        <w:b/>
        <w:bCs/>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A7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1" w:themeFillShade="BF"/>
      </w:tcPr>
    </w:tblStylePr>
    <w:tblStylePr w:type="band1Vert">
      <w:tblPr/>
      <w:tcPr>
        <w:tcBorders>
          <w:top w:val="nil"/>
          <w:left w:val="nil"/>
          <w:bottom w:val="nil"/>
          <w:right w:val="nil"/>
          <w:insideH w:val="nil"/>
          <w:insideV w:val="nil"/>
        </w:tcBorders>
        <w:shd w:val="clear" w:color="auto" w:fill="007C87" w:themeFill="accent1" w:themeFillShade="BF"/>
      </w:tcPr>
    </w:tblStylePr>
    <w:tblStylePr w:type="band1Horz">
      <w:tblPr/>
      <w:tcPr>
        <w:tcBorders>
          <w:top w:val="nil"/>
          <w:left w:val="nil"/>
          <w:bottom w:val="nil"/>
          <w:right w:val="nil"/>
          <w:insideH w:val="nil"/>
          <w:insideV w:val="nil"/>
        </w:tcBorders>
        <w:shd w:val="clear" w:color="auto" w:fill="007C8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73" w:themeFill="accent3" w:themeFillShade="BF"/>
      </w:tcPr>
    </w:tblStylePr>
    <w:tblStylePr w:type="band1Vert">
      <w:tblPr/>
      <w:tcPr>
        <w:tcBorders>
          <w:top w:val="nil"/>
          <w:left w:val="nil"/>
          <w:bottom w:val="nil"/>
          <w:right w:val="nil"/>
          <w:insideH w:val="nil"/>
          <w:insideV w:val="nil"/>
        </w:tcBorders>
        <w:shd w:val="clear" w:color="auto" w:fill="268A73" w:themeFill="accent3" w:themeFillShade="BF"/>
      </w:tcPr>
    </w:tblStylePr>
    <w:tblStylePr w:type="band1Horz">
      <w:tblPr/>
      <w:tcPr>
        <w:tcBorders>
          <w:top w:val="nil"/>
          <w:left w:val="nil"/>
          <w:bottom w:val="nil"/>
          <w:right w:val="nil"/>
          <w:insideH w:val="nil"/>
          <w:insideV w:val="nil"/>
        </w:tcBorders>
        <w:shd w:val="clear" w:color="auto" w:fill="268A73"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5" w:themeFillShade="BF"/>
      </w:tcPr>
    </w:tblStylePr>
    <w:tblStylePr w:type="band1Vert">
      <w:tblPr/>
      <w:tcPr>
        <w:tcBorders>
          <w:top w:val="nil"/>
          <w:left w:val="nil"/>
          <w:bottom w:val="nil"/>
          <w:right w:val="nil"/>
          <w:insideH w:val="nil"/>
          <w:insideV w:val="nil"/>
        </w:tcBorders>
        <w:shd w:val="clear" w:color="auto" w:fill="E6C71D" w:themeFill="accent5" w:themeFillShade="BF"/>
      </w:tcPr>
    </w:tblStylePr>
    <w:tblStylePr w:type="band1Horz">
      <w:tblPr/>
      <w:tcPr>
        <w:tcBorders>
          <w:top w:val="nil"/>
          <w:left w:val="nil"/>
          <w:bottom w:val="nil"/>
          <w:right w:val="nil"/>
          <w:insideH w:val="nil"/>
          <w:insideV w:val="nil"/>
        </w:tcBorders>
        <w:shd w:val="clear" w:color="auto" w:fill="E6C71D"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A7B5" w:themeColor="accent1"/>
    </w:rPr>
  </w:style>
  <w:style w:type="paragraph" w:styleId="Strktcitat">
    <w:name w:val="Intense Quote"/>
    <w:basedOn w:val="Normal"/>
    <w:next w:val="Normal"/>
    <w:link w:val="StrktcitatTegn"/>
    <w:uiPriority w:val="99"/>
    <w:semiHidden/>
    <w:qFormat/>
    <w:rsid w:val="00225534"/>
    <w:pPr>
      <w:pBdr>
        <w:bottom w:val="single" w:sz="4" w:space="4" w:color="00A7B5" w:themeColor="accent1"/>
      </w:pBdr>
      <w:spacing w:before="200" w:after="280"/>
      <w:ind w:left="936" w:right="936"/>
    </w:pPr>
    <w:rPr>
      <w:b/>
      <w:bCs/>
      <w:i/>
      <w:iCs/>
      <w:color w:val="00A7B5"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A7B5"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18" w:space="0" w:color="00A7B5" w:themeColor="accent1"/>
          <w:right w:val="single" w:sz="8" w:space="0" w:color="00A7B5" w:themeColor="accent1"/>
          <w:insideH w:val="nil"/>
          <w:insideV w:val="single" w:sz="8" w:space="0" w:color="00A7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insideH w:val="nil"/>
          <w:insideV w:val="single" w:sz="8" w:space="0" w:color="00A7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shd w:val="clear" w:color="auto" w:fill="ADF8FF" w:themeFill="accent1" w:themeFillTint="3F"/>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shd w:val="clear" w:color="auto" w:fill="ADF8FF" w:themeFill="accent1" w:themeFillTint="3F"/>
      </w:tcPr>
    </w:tblStylePr>
    <w:tblStylePr w:type="band2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18" w:space="0" w:color="33B99B" w:themeColor="accent3"/>
          <w:right w:val="single" w:sz="8" w:space="0" w:color="33B99B" w:themeColor="accent3"/>
          <w:insideH w:val="nil"/>
          <w:insideV w:val="single" w:sz="8" w:space="0" w:color="33B9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insideH w:val="nil"/>
          <w:insideV w:val="single" w:sz="8" w:space="0" w:color="33B9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shd w:val="clear" w:color="auto" w:fill="C9F0E7" w:themeFill="accent3" w:themeFillTint="3F"/>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shd w:val="clear" w:color="auto" w:fill="C9F0E7" w:themeFill="accent3" w:themeFillTint="3F"/>
      </w:tcPr>
    </w:tblStylePr>
    <w:tblStylePr w:type="band2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18" w:space="0" w:color="EFDB6C" w:themeColor="accent5"/>
          <w:right w:val="single" w:sz="8" w:space="0" w:color="EFDB6C" w:themeColor="accent5"/>
          <w:insideH w:val="nil"/>
          <w:insideV w:val="single" w:sz="8" w:space="0" w:color="EFDB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insideH w:val="nil"/>
          <w:insideV w:val="single" w:sz="8" w:space="0" w:color="EFDB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shd w:val="clear" w:color="auto" w:fill="FBF6DA" w:themeFill="accent5" w:themeFillTint="3F"/>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shd w:val="clear" w:color="auto" w:fill="FBF6DA" w:themeFill="accent5" w:themeFillTint="3F"/>
      </w:tcPr>
    </w:tblStylePr>
    <w:tblStylePr w:type="band2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pPr>
        <w:spacing w:before="0" w:after="0" w:line="240" w:lineRule="auto"/>
      </w:pPr>
      <w:rPr>
        <w:b/>
        <w:bCs/>
        <w:color w:val="FFFFFF" w:themeColor="background1"/>
      </w:rPr>
      <w:tblPr/>
      <w:tcPr>
        <w:shd w:val="clear" w:color="auto" w:fill="00A7B5" w:themeFill="accent1"/>
      </w:tcPr>
    </w:tblStylePr>
    <w:tblStylePr w:type="lastRow">
      <w:pPr>
        <w:spacing w:before="0" w:after="0" w:line="240" w:lineRule="auto"/>
      </w:pPr>
      <w:rPr>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tcBorders>
      </w:tcPr>
    </w:tblStylePr>
    <w:tblStylePr w:type="firstCol">
      <w:rPr>
        <w:b/>
        <w:bCs/>
      </w:rPr>
    </w:tblStylePr>
    <w:tblStylePr w:type="lastCol">
      <w:rPr>
        <w:b/>
        <w:bCs/>
      </w:r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pPr>
        <w:spacing w:before="0" w:after="0" w:line="240" w:lineRule="auto"/>
      </w:pPr>
      <w:rPr>
        <w:b/>
        <w:bCs/>
        <w:color w:val="FFFFFF" w:themeColor="background1"/>
      </w:rPr>
      <w:tblPr/>
      <w:tcPr>
        <w:shd w:val="clear" w:color="auto" w:fill="33B99B" w:themeFill="accent3"/>
      </w:tcPr>
    </w:tblStylePr>
    <w:tblStylePr w:type="lastRow">
      <w:pPr>
        <w:spacing w:before="0" w:after="0" w:line="240" w:lineRule="auto"/>
      </w:pPr>
      <w:rPr>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tcBorders>
      </w:tcPr>
    </w:tblStylePr>
    <w:tblStylePr w:type="firstCol">
      <w:rPr>
        <w:b/>
        <w:bCs/>
      </w:rPr>
    </w:tblStylePr>
    <w:tblStylePr w:type="lastCol">
      <w:rPr>
        <w:b/>
        <w:bCs/>
      </w:r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pPr>
        <w:spacing w:before="0" w:after="0" w:line="240" w:lineRule="auto"/>
      </w:pPr>
      <w:rPr>
        <w:b/>
        <w:bCs/>
        <w:color w:val="FFFFFF" w:themeColor="background1"/>
      </w:rPr>
      <w:tblPr/>
      <w:tcPr>
        <w:shd w:val="clear" w:color="auto" w:fill="EFDB6C" w:themeFill="accent5"/>
      </w:tcPr>
    </w:tblStylePr>
    <w:tblStylePr w:type="lastRow">
      <w:pPr>
        <w:spacing w:before="0" w:after="0" w:line="240" w:lineRule="auto"/>
      </w:pPr>
      <w:rPr>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tcBorders>
      </w:tcPr>
    </w:tblStylePr>
    <w:tblStylePr w:type="firstCol">
      <w:rPr>
        <w:b/>
        <w:bCs/>
      </w:rPr>
    </w:tblStylePr>
    <w:tblStylePr w:type="lastCol">
      <w:rPr>
        <w:b/>
        <w:bCs/>
      </w:r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7C87" w:themeColor="accent1" w:themeShade="BF"/>
    </w:rPr>
    <w:tblPr>
      <w:tblStyleRowBandSize w:val="1"/>
      <w:tblStyleColBandSize w:val="1"/>
      <w:tblBorders>
        <w:top w:val="single" w:sz="8" w:space="0" w:color="00A7B5" w:themeColor="accent1"/>
        <w:bottom w:val="single" w:sz="8" w:space="0" w:color="00A7B5" w:themeColor="accent1"/>
      </w:tblBorders>
    </w:tblPr>
    <w:tblStylePr w:type="fir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la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left w:val="nil"/>
          <w:right w:val="nil"/>
          <w:insideH w:val="nil"/>
          <w:insideV w:val="nil"/>
        </w:tcBorders>
        <w:shd w:val="clear" w:color="auto" w:fill="ADF8FF"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73" w:themeColor="accent3" w:themeShade="BF"/>
    </w:rPr>
    <w:tblPr>
      <w:tblStyleRowBandSize w:val="1"/>
      <w:tblStyleColBandSize w:val="1"/>
      <w:tblBorders>
        <w:top w:val="single" w:sz="8" w:space="0" w:color="33B99B" w:themeColor="accent3"/>
        <w:bottom w:val="single" w:sz="8" w:space="0" w:color="33B99B" w:themeColor="accent3"/>
      </w:tblBorders>
    </w:tblPr>
    <w:tblStylePr w:type="fir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la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left w:val="nil"/>
          <w:right w:val="nil"/>
          <w:insideH w:val="nil"/>
          <w:insideV w:val="nil"/>
        </w:tcBorders>
        <w:shd w:val="clear" w:color="auto" w:fill="C9F0E7"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E6C71D" w:themeColor="accent5" w:themeShade="BF"/>
    </w:rPr>
    <w:tblPr>
      <w:tblStyleRowBandSize w:val="1"/>
      <w:tblStyleColBandSize w:val="1"/>
      <w:tblBorders>
        <w:top w:val="single" w:sz="8" w:space="0" w:color="EFDB6C" w:themeColor="accent5"/>
        <w:bottom w:val="single" w:sz="8" w:space="0" w:color="EFDB6C" w:themeColor="accent5"/>
      </w:tblBorders>
    </w:tblPr>
    <w:tblStylePr w:type="fir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la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left w:val="nil"/>
          <w:right w:val="nil"/>
          <w:insideH w:val="nil"/>
          <w:insideV w:val="nil"/>
        </w:tcBorders>
        <w:shd w:val="clear" w:color="auto" w:fill="FBF6DA"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3C2151" w:themeColor="accent6" w:themeShade="BF"/>
    </w:rPr>
    <w:tblPr>
      <w:tblStyleRowBandSize w:val="1"/>
      <w:tblStyleColBandSize w:val="1"/>
      <w:tblBorders>
        <w:top w:val="single" w:sz="8" w:space="0" w:color="512D6D" w:themeColor="accent6"/>
        <w:bottom w:val="single" w:sz="8" w:space="0" w:color="512D6D" w:themeColor="accent6"/>
      </w:tblBorders>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34"/>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insideV w:val="single" w:sz="8" w:space="0" w:color="08EBFF" w:themeColor="accent1" w:themeTint="BF"/>
      </w:tblBorders>
    </w:tblPr>
    <w:tcPr>
      <w:shd w:val="clear" w:color="auto" w:fill="ADF8FF" w:themeFill="accent1" w:themeFillTint="3F"/>
    </w:tcPr>
    <w:tblStylePr w:type="firstRow">
      <w:rPr>
        <w:b/>
        <w:bCs/>
      </w:rPr>
    </w:tblStylePr>
    <w:tblStylePr w:type="lastRow">
      <w:rPr>
        <w:b/>
        <w:bCs/>
      </w:rPr>
      <w:tblPr/>
      <w:tcPr>
        <w:tcBorders>
          <w:top w:val="single" w:sz="18" w:space="0" w:color="08EBFF" w:themeColor="accent1" w:themeTint="BF"/>
        </w:tcBorders>
      </w:tcPr>
    </w:tblStylePr>
    <w:tblStylePr w:type="firstCol">
      <w:rPr>
        <w:b/>
        <w:bCs/>
      </w:rPr>
    </w:tblStylePr>
    <w:tblStylePr w:type="lastCol">
      <w:rPr>
        <w:b/>
        <w:bCs/>
      </w:r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insideV w:val="single" w:sz="8" w:space="0" w:color="5ED2B8" w:themeColor="accent3" w:themeTint="BF"/>
      </w:tblBorders>
    </w:tblPr>
    <w:tcPr>
      <w:shd w:val="clear" w:color="auto" w:fill="C9F0E7" w:themeFill="accent3" w:themeFillTint="3F"/>
    </w:tcPr>
    <w:tblStylePr w:type="firstRow">
      <w:rPr>
        <w:b/>
        <w:bCs/>
      </w:rPr>
    </w:tblStylePr>
    <w:tblStylePr w:type="lastRow">
      <w:rPr>
        <w:b/>
        <w:bCs/>
      </w:rPr>
      <w:tblPr/>
      <w:tcPr>
        <w:tcBorders>
          <w:top w:val="single" w:sz="18" w:space="0" w:color="5ED2B8" w:themeColor="accent3" w:themeTint="BF"/>
        </w:tcBorders>
      </w:tcPr>
    </w:tblStylePr>
    <w:tblStylePr w:type="firstCol">
      <w:rPr>
        <w:b/>
        <w:bCs/>
      </w:rPr>
    </w:tblStylePr>
    <w:tblStylePr w:type="lastCol">
      <w:rPr>
        <w:b/>
        <w:bCs/>
      </w:r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insideV w:val="single" w:sz="8" w:space="0" w:color="F3E390" w:themeColor="accent5" w:themeTint="BF"/>
      </w:tblBorders>
    </w:tblPr>
    <w:tcPr>
      <w:shd w:val="clear" w:color="auto" w:fill="FBF6DA" w:themeFill="accent5" w:themeFillTint="3F"/>
    </w:tcPr>
    <w:tblStylePr w:type="firstRow">
      <w:rPr>
        <w:b/>
        <w:bCs/>
      </w:rPr>
    </w:tblStylePr>
    <w:tblStylePr w:type="lastRow">
      <w:rPr>
        <w:b/>
        <w:bCs/>
      </w:rPr>
      <w:tblPr/>
      <w:tcPr>
        <w:tcBorders>
          <w:top w:val="single" w:sz="18" w:space="0" w:color="F3E390" w:themeColor="accent5" w:themeTint="BF"/>
        </w:tcBorders>
      </w:tcPr>
    </w:tblStylePr>
    <w:tblStylePr w:type="firstCol">
      <w:rPr>
        <w:b/>
        <w:bCs/>
      </w:rPr>
    </w:tblStylePr>
    <w:tblStylePr w:type="lastCol">
      <w:rPr>
        <w:b/>
        <w:bCs/>
      </w:r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cPr>
      <w:shd w:val="clear" w:color="auto" w:fill="ADF8FF" w:themeFill="accent1" w:themeFillTint="3F"/>
    </w:tcPr>
    <w:tblStylePr w:type="firstRow">
      <w:rPr>
        <w:b/>
        <w:bCs/>
        <w:color w:val="000000" w:themeColor="text1"/>
      </w:rPr>
      <w:tblPr/>
      <w:tcPr>
        <w:shd w:val="clear" w:color="auto" w:fill="DE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1" w:themeFillTint="33"/>
      </w:tcPr>
    </w:tblStylePr>
    <w:tblStylePr w:type="band1Vert">
      <w:tblPr/>
      <w:tcPr>
        <w:shd w:val="clear" w:color="auto" w:fill="5BF2FF" w:themeFill="accent1" w:themeFillTint="7F"/>
      </w:tcPr>
    </w:tblStylePr>
    <w:tblStylePr w:type="band1Horz">
      <w:tblPr/>
      <w:tcPr>
        <w:tcBorders>
          <w:insideH w:val="single" w:sz="6" w:space="0" w:color="00A7B5" w:themeColor="accent1"/>
          <w:insideV w:val="single" w:sz="6" w:space="0" w:color="00A7B5" w:themeColor="accent1"/>
        </w:tcBorders>
        <w:shd w:val="clear" w:color="auto" w:fill="5BF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cPr>
      <w:shd w:val="clear" w:color="auto" w:fill="C9F0E7" w:themeFill="accent3" w:themeFillTint="3F"/>
    </w:tcPr>
    <w:tblStylePr w:type="firstRow">
      <w:rPr>
        <w:b/>
        <w:bCs/>
        <w:color w:val="000000" w:themeColor="text1"/>
      </w:rPr>
      <w:tblPr/>
      <w:tcPr>
        <w:shd w:val="clear" w:color="auto" w:fill="E9F9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EC" w:themeFill="accent3" w:themeFillTint="33"/>
      </w:tcPr>
    </w:tblStylePr>
    <w:tblStylePr w:type="band1Vert">
      <w:tblPr/>
      <w:tcPr>
        <w:shd w:val="clear" w:color="auto" w:fill="93E1CF" w:themeFill="accent3" w:themeFillTint="7F"/>
      </w:tcPr>
    </w:tblStylePr>
    <w:tblStylePr w:type="band1Horz">
      <w:tblPr/>
      <w:tcPr>
        <w:tcBorders>
          <w:insideH w:val="single" w:sz="6" w:space="0" w:color="33B99B" w:themeColor="accent3"/>
          <w:insideV w:val="single" w:sz="6" w:space="0" w:color="33B99B" w:themeColor="accent3"/>
        </w:tcBorders>
        <w:shd w:val="clear" w:color="auto" w:fill="93E1C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cPr>
      <w:shd w:val="clear" w:color="auto" w:fill="FBF6DA" w:themeFill="accent5" w:themeFillTint="3F"/>
    </w:tcPr>
    <w:tblStylePr w:type="firstRow">
      <w:rPr>
        <w:b/>
        <w:bCs/>
        <w:color w:val="000000" w:themeColor="text1"/>
      </w:rPr>
      <w:tblPr/>
      <w:tcPr>
        <w:shd w:val="clear" w:color="auto" w:fill="FDF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5" w:themeFillTint="33"/>
      </w:tcPr>
    </w:tblStylePr>
    <w:tblStylePr w:type="band1Vert">
      <w:tblPr/>
      <w:tcPr>
        <w:shd w:val="clear" w:color="auto" w:fill="F7EDB5" w:themeFill="accent5" w:themeFillTint="7F"/>
      </w:tcPr>
    </w:tblStylePr>
    <w:tblStylePr w:type="band1Horz">
      <w:tblPr/>
      <w:tcPr>
        <w:tcBorders>
          <w:insideH w:val="single" w:sz="6" w:space="0" w:color="EFDB6C" w:themeColor="accent5"/>
          <w:insideV w:val="single" w:sz="6" w:space="0" w:color="EFDB6C" w:themeColor="accent5"/>
        </w:tcBorders>
        <w:shd w:val="clear" w:color="auto" w:fill="F7EDB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C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9E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A7B5" w:themeColor="accent1"/>
        <w:bottom w:val="single" w:sz="8" w:space="0" w:color="00A7B5" w:themeColor="accent1"/>
      </w:tblBorders>
    </w:tblPr>
    <w:tblStylePr w:type="firstRow">
      <w:rPr>
        <w:rFonts w:asciiTheme="majorHAnsi" w:eastAsiaTheme="majorEastAsia" w:hAnsiTheme="majorHAnsi" w:cstheme="majorBidi"/>
      </w:rPr>
      <w:tblPr/>
      <w:tcPr>
        <w:tcBorders>
          <w:top w:val="nil"/>
          <w:bottom w:val="single" w:sz="8" w:space="0" w:color="00A7B5" w:themeColor="accent1"/>
        </w:tcBorders>
      </w:tcPr>
    </w:tblStylePr>
    <w:tblStylePr w:type="lastRow">
      <w:rPr>
        <w:b/>
        <w:bCs/>
        <w:color w:val="BFE9EC" w:themeColor="text2"/>
      </w:rPr>
      <w:tblPr/>
      <w:tcPr>
        <w:tcBorders>
          <w:top w:val="single" w:sz="8" w:space="0" w:color="00A7B5" w:themeColor="accent1"/>
          <w:bottom w:val="single" w:sz="8" w:space="0" w:color="00A7B5" w:themeColor="accent1"/>
        </w:tcBorders>
      </w:tcPr>
    </w:tblStylePr>
    <w:tblStylePr w:type="firstCol">
      <w:rPr>
        <w:b/>
        <w:bCs/>
      </w:rPr>
    </w:tblStylePr>
    <w:tblStylePr w:type="lastCol">
      <w:rPr>
        <w:b/>
        <w:bCs/>
      </w:rPr>
      <w:tblPr/>
      <w:tcPr>
        <w:tcBorders>
          <w:top w:val="single" w:sz="8" w:space="0" w:color="00A7B5" w:themeColor="accent1"/>
          <w:bottom w:val="single" w:sz="8" w:space="0" w:color="00A7B5" w:themeColor="accent1"/>
        </w:tcBorders>
      </w:tcPr>
    </w:tblStylePr>
    <w:tblStylePr w:type="band1Vert">
      <w:tblPr/>
      <w:tcPr>
        <w:shd w:val="clear" w:color="auto" w:fill="ADF8FF" w:themeFill="accent1" w:themeFillTint="3F"/>
      </w:tcPr>
    </w:tblStylePr>
    <w:tblStylePr w:type="band1Horz">
      <w:tblPr/>
      <w:tcPr>
        <w:shd w:val="clear" w:color="auto" w:fill="ADF8FF"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9EC"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9B" w:themeColor="accent3"/>
        <w:bottom w:val="single" w:sz="8" w:space="0" w:color="33B99B" w:themeColor="accent3"/>
      </w:tblBorders>
    </w:tblPr>
    <w:tblStylePr w:type="firstRow">
      <w:rPr>
        <w:rFonts w:asciiTheme="majorHAnsi" w:eastAsiaTheme="majorEastAsia" w:hAnsiTheme="majorHAnsi" w:cstheme="majorBidi"/>
      </w:rPr>
      <w:tblPr/>
      <w:tcPr>
        <w:tcBorders>
          <w:top w:val="nil"/>
          <w:bottom w:val="single" w:sz="8" w:space="0" w:color="33B99B" w:themeColor="accent3"/>
        </w:tcBorders>
      </w:tcPr>
    </w:tblStylePr>
    <w:tblStylePr w:type="lastRow">
      <w:rPr>
        <w:b/>
        <w:bCs/>
        <w:color w:val="BFE9EC" w:themeColor="text2"/>
      </w:rPr>
      <w:tblPr/>
      <w:tcPr>
        <w:tcBorders>
          <w:top w:val="single" w:sz="8" w:space="0" w:color="33B99B" w:themeColor="accent3"/>
          <w:bottom w:val="single" w:sz="8" w:space="0" w:color="33B99B" w:themeColor="accent3"/>
        </w:tcBorders>
      </w:tcPr>
    </w:tblStylePr>
    <w:tblStylePr w:type="firstCol">
      <w:rPr>
        <w:b/>
        <w:bCs/>
      </w:rPr>
    </w:tblStylePr>
    <w:tblStylePr w:type="lastCol">
      <w:rPr>
        <w:b/>
        <w:bCs/>
      </w:rPr>
      <w:tblPr/>
      <w:tcPr>
        <w:tcBorders>
          <w:top w:val="single" w:sz="8" w:space="0" w:color="33B99B" w:themeColor="accent3"/>
          <w:bottom w:val="single" w:sz="8" w:space="0" w:color="33B99B" w:themeColor="accent3"/>
        </w:tcBorders>
      </w:tcPr>
    </w:tblStylePr>
    <w:tblStylePr w:type="band1Vert">
      <w:tblPr/>
      <w:tcPr>
        <w:shd w:val="clear" w:color="auto" w:fill="C9F0E7" w:themeFill="accent3" w:themeFillTint="3F"/>
      </w:tcPr>
    </w:tblStylePr>
    <w:tblStylePr w:type="band1Horz">
      <w:tblPr/>
      <w:tcPr>
        <w:shd w:val="clear" w:color="auto" w:fill="C9F0E7"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E9EC"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5"/>
        <w:bottom w:val="single" w:sz="8" w:space="0" w:color="EFDB6C" w:themeColor="accent5"/>
      </w:tblBorders>
    </w:tblPr>
    <w:tblStylePr w:type="firstRow">
      <w:rPr>
        <w:rFonts w:asciiTheme="majorHAnsi" w:eastAsiaTheme="majorEastAsia" w:hAnsiTheme="majorHAnsi" w:cstheme="majorBidi"/>
      </w:rPr>
      <w:tblPr/>
      <w:tcPr>
        <w:tcBorders>
          <w:top w:val="nil"/>
          <w:bottom w:val="single" w:sz="8" w:space="0" w:color="EFDB6C" w:themeColor="accent5"/>
        </w:tcBorders>
      </w:tcPr>
    </w:tblStylePr>
    <w:tblStylePr w:type="lastRow">
      <w:rPr>
        <w:b/>
        <w:bCs/>
        <w:color w:val="BFE9EC" w:themeColor="text2"/>
      </w:rPr>
      <w:tblPr/>
      <w:tcPr>
        <w:tcBorders>
          <w:top w:val="single" w:sz="8" w:space="0" w:color="EFDB6C" w:themeColor="accent5"/>
          <w:bottom w:val="single" w:sz="8" w:space="0" w:color="EFDB6C" w:themeColor="accent5"/>
        </w:tcBorders>
      </w:tcPr>
    </w:tblStylePr>
    <w:tblStylePr w:type="firstCol">
      <w:rPr>
        <w:b/>
        <w:bCs/>
      </w:rPr>
    </w:tblStylePr>
    <w:tblStylePr w:type="lastCol">
      <w:rPr>
        <w:b/>
        <w:bCs/>
      </w:rPr>
      <w:tblPr/>
      <w:tcPr>
        <w:tcBorders>
          <w:top w:val="single" w:sz="8" w:space="0" w:color="EFDB6C" w:themeColor="accent5"/>
          <w:bottom w:val="single" w:sz="8" w:space="0" w:color="EFDB6C" w:themeColor="accent5"/>
        </w:tcBorders>
      </w:tcPr>
    </w:tblStylePr>
    <w:tblStylePr w:type="band1Vert">
      <w:tblPr/>
      <w:tcPr>
        <w:shd w:val="clear" w:color="auto" w:fill="FBF6DA" w:themeFill="accent5" w:themeFillTint="3F"/>
      </w:tcPr>
    </w:tblStylePr>
    <w:tblStylePr w:type="band1Horz">
      <w:tblPr/>
      <w:tcPr>
        <w:shd w:val="clear" w:color="auto" w:fill="FBF6DA"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6"/>
        <w:bottom w:val="single" w:sz="8" w:space="0" w:color="512D6D" w:themeColor="accent6"/>
      </w:tblBorders>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9EC"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rPr>
        <w:sz w:val="24"/>
        <w:szCs w:val="24"/>
      </w:rPr>
      <w:tblPr/>
      <w:tcPr>
        <w:tcBorders>
          <w:top w:val="nil"/>
          <w:left w:val="nil"/>
          <w:bottom w:val="single" w:sz="24" w:space="0" w:color="00A7B5" w:themeColor="accent1"/>
          <w:right w:val="nil"/>
          <w:insideH w:val="nil"/>
          <w:insideV w:val="nil"/>
        </w:tcBorders>
        <w:shd w:val="clear" w:color="auto" w:fill="FFFFFF" w:themeFill="background1"/>
      </w:tcPr>
    </w:tblStylePr>
    <w:tblStylePr w:type="lastRow">
      <w:tblPr/>
      <w:tcPr>
        <w:tcBorders>
          <w:top w:val="single" w:sz="8" w:space="0" w:color="00A7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1"/>
          <w:insideH w:val="nil"/>
          <w:insideV w:val="nil"/>
        </w:tcBorders>
        <w:shd w:val="clear" w:color="auto" w:fill="FFFFFF" w:themeFill="background1"/>
      </w:tcPr>
    </w:tblStylePr>
    <w:tblStylePr w:type="lastCol">
      <w:tblPr/>
      <w:tcPr>
        <w:tcBorders>
          <w:top w:val="nil"/>
          <w:left w:val="single" w:sz="8" w:space="0" w:color="00A7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top w:val="nil"/>
          <w:bottom w:val="nil"/>
          <w:insideH w:val="nil"/>
          <w:insideV w:val="nil"/>
        </w:tcBorders>
        <w:shd w:val="clear" w:color="auto" w:fill="ADF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rPr>
        <w:sz w:val="24"/>
        <w:szCs w:val="24"/>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tblPr/>
      <w:tcPr>
        <w:tcBorders>
          <w:top w:val="single" w:sz="8" w:space="0" w:color="33B9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9B" w:themeColor="accent3"/>
          <w:insideH w:val="nil"/>
          <w:insideV w:val="nil"/>
        </w:tcBorders>
        <w:shd w:val="clear" w:color="auto" w:fill="FFFFFF" w:themeFill="background1"/>
      </w:tcPr>
    </w:tblStylePr>
    <w:tblStylePr w:type="lastCol">
      <w:tblPr/>
      <w:tcPr>
        <w:tcBorders>
          <w:top w:val="nil"/>
          <w:left w:val="single" w:sz="8" w:space="0" w:color="33B9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top w:val="nil"/>
          <w:bottom w:val="nil"/>
          <w:insideH w:val="nil"/>
          <w:insideV w:val="nil"/>
        </w:tcBorders>
        <w:shd w:val="clear" w:color="auto" w:fill="C9F0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rPr>
        <w:sz w:val="24"/>
        <w:szCs w:val="24"/>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tblPr/>
      <w:tcPr>
        <w:tcBorders>
          <w:top w:val="single" w:sz="8" w:space="0" w:color="EFDB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5"/>
          <w:insideH w:val="nil"/>
          <w:insideV w:val="nil"/>
        </w:tcBorders>
        <w:shd w:val="clear" w:color="auto" w:fill="FFFFFF" w:themeFill="background1"/>
      </w:tcPr>
    </w:tblStylePr>
    <w:tblStylePr w:type="lastCol">
      <w:tblPr/>
      <w:tcPr>
        <w:tcBorders>
          <w:top w:val="nil"/>
          <w:left w:val="single" w:sz="8" w:space="0" w:color="EFDB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top w:val="nil"/>
          <w:bottom w:val="nil"/>
          <w:insideH w:val="nil"/>
          <w:insideV w:val="nil"/>
        </w:tcBorders>
        <w:shd w:val="clear" w:color="auto" w:fill="FBF6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tblBorders>
    </w:tblPr>
    <w:tblStylePr w:type="firstRow">
      <w:pPr>
        <w:spacing w:before="0" w:after="0" w:line="240" w:lineRule="auto"/>
      </w:pPr>
      <w:rPr>
        <w:b/>
        <w:bCs/>
        <w:color w:val="FFFFFF" w:themeColor="background1"/>
      </w:rPr>
      <w:tblPr/>
      <w:tcPr>
        <w:tc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shd w:val="clear" w:color="auto" w:fill="00A7B5" w:themeFill="accent1"/>
      </w:tcPr>
    </w:tblStylePr>
    <w:tblStylePr w:type="lastRow">
      <w:pPr>
        <w:spacing w:before="0" w:after="0" w:line="240" w:lineRule="auto"/>
      </w:pPr>
      <w:rPr>
        <w:b/>
        <w:bCs/>
      </w:rPr>
      <w:tblPr/>
      <w:tcPr>
        <w:tcBorders>
          <w:top w:val="double" w:sz="6"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1" w:themeFillTint="3F"/>
      </w:tcPr>
    </w:tblStylePr>
    <w:tblStylePr w:type="band1Horz">
      <w:tblPr/>
      <w:tcPr>
        <w:tcBorders>
          <w:insideH w:val="nil"/>
          <w:insideV w:val="nil"/>
        </w:tcBorders>
        <w:shd w:val="clear" w:color="auto" w:fill="ADF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tblBorders>
    </w:tblPr>
    <w:tblStylePr w:type="firstRow">
      <w:pPr>
        <w:spacing w:before="0" w:after="0" w:line="240" w:lineRule="auto"/>
      </w:pPr>
      <w:rPr>
        <w:b/>
        <w:bCs/>
        <w:color w:val="FFFFFF" w:themeColor="background1"/>
      </w:rPr>
      <w:tblPr/>
      <w:tcPr>
        <w:tc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shd w:val="clear" w:color="auto" w:fill="33B99B" w:themeFill="accent3"/>
      </w:tcPr>
    </w:tblStylePr>
    <w:tblStylePr w:type="lastRow">
      <w:pPr>
        <w:spacing w:before="0" w:after="0" w:line="240" w:lineRule="auto"/>
      </w:pPr>
      <w:rPr>
        <w:b/>
        <w:bCs/>
      </w:rPr>
      <w:tblPr/>
      <w:tcPr>
        <w:tcBorders>
          <w:top w:val="double" w:sz="6"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0E7" w:themeFill="accent3" w:themeFillTint="3F"/>
      </w:tcPr>
    </w:tblStylePr>
    <w:tblStylePr w:type="band1Horz">
      <w:tblPr/>
      <w:tcPr>
        <w:tcBorders>
          <w:insideH w:val="nil"/>
          <w:insideV w:val="nil"/>
        </w:tcBorders>
        <w:shd w:val="clear" w:color="auto" w:fill="C9F0E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tblBorders>
    </w:tblPr>
    <w:tblStylePr w:type="firstRow">
      <w:pPr>
        <w:spacing w:before="0" w:after="0" w:line="240" w:lineRule="auto"/>
      </w:pPr>
      <w:rPr>
        <w:b/>
        <w:bCs/>
        <w:color w:val="FFFFFF" w:themeColor="background1"/>
      </w:rPr>
      <w:tblPr/>
      <w:tcPr>
        <w:tc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shd w:val="clear" w:color="auto" w:fill="EFDB6C" w:themeFill="accent5"/>
      </w:tcPr>
    </w:tblStylePr>
    <w:tblStylePr w:type="lastRow">
      <w:pPr>
        <w:spacing w:before="0" w:after="0" w:line="240" w:lineRule="auto"/>
      </w:pPr>
      <w:rPr>
        <w:b/>
        <w:bCs/>
      </w:rPr>
      <w:tblPr/>
      <w:tcPr>
        <w:tcBorders>
          <w:top w:val="double" w:sz="6"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5" w:themeFillTint="3F"/>
      </w:tcPr>
    </w:tblStylePr>
    <w:tblStylePr w:type="band1Horz">
      <w:tblPr/>
      <w:tcPr>
        <w:tcBorders>
          <w:insideH w:val="nil"/>
          <w:insideV w:val="nil"/>
        </w:tcBorders>
        <w:shd w:val="clear" w:color="auto" w:fill="FBF6D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7B5" w:themeFill="accent1"/>
      </w:tcPr>
    </w:tblStylePr>
    <w:tblStylePr w:type="lastCol">
      <w:rPr>
        <w:b/>
        <w:bCs/>
        <w:color w:val="FFFFFF" w:themeColor="background1"/>
      </w:rPr>
      <w:tblPr/>
      <w:tcPr>
        <w:tcBorders>
          <w:left w:val="nil"/>
          <w:right w:val="nil"/>
          <w:insideH w:val="nil"/>
          <w:insideV w:val="nil"/>
        </w:tcBorders>
        <w:shd w:val="clear" w:color="auto" w:fill="00A7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9B" w:themeFill="accent3"/>
      </w:tcPr>
    </w:tblStylePr>
    <w:tblStylePr w:type="lastCol">
      <w:rPr>
        <w:b/>
        <w:bCs/>
        <w:color w:val="FFFFFF" w:themeColor="background1"/>
      </w:rPr>
      <w:tblPr/>
      <w:tcPr>
        <w:tcBorders>
          <w:left w:val="nil"/>
          <w:right w:val="nil"/>
          <w:insideH w:val="nil"/>
          <w:insideV w:val="nil"/>
        </w:tcBorders>
        <w:shd w:val="clear" w:color="auto" w:fill="33B9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5"/>
      </w:tcPr>
    </w:tblStylePr>
    <w:tblStylePr w:type="lastCol">
      <w:rPr>
        <w:b/>
        <w:bCs/>
        <w:color w:val="FFFFFF" w:themeColor="background1"/>
      </w:rPr>
      <w:tblPr/>
      <w:tcPr>
        <w:tcBorders>
          <w:left w:val="nil"/>
          <w:right w:val="nil"/>
          <w:insideH w:val="nil"/>
          <w:insideV w:val="nil"/>
        </w:tcBorders>
        <w:shd w:val="clear" w:color="auto" w:fill="EFDB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bst.dk/virksomheder/skovbrug/herkomstkontrol-og-kaaring/aftalebaseret-ordning-for-skovfro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3245</Words>
  <Characters>20621</Characters>
  <Application>Microsoft Office Word</Application>
  <DocSecurity>0</DocSecurity>
  <Lines>2945</Lines>
  <Paragraphs>1325</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22541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meb</dc:creator>
  <cp:keywords/>
  <dc:description/>
  <cp:lastModifiedBy>Merete Buus (NaturErhvervstyrelsen)</cp:lastModifiedBy>
  <cp:revision>2</cp:revision>
  <cp:lastPrinted>2018-01-10T13:42:00Z</cp:lastPrinted>
  <dcterms:created xsi:type="dcterms:W3CDTF">2018-01-10T14:37:00Z</dcterms:created>
  <dcterms:modified xsi:type="dcterms:W3CDTF">2018-01-10T14:37:00Z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Notat</vt:lpwstr>
  </property>
  <property fmtid="{D5CDD505-2E9C-101B-9397-08002B2CF9AE}" pid="11" name="ContentRemapped">
    <vt:lpwstr>true</vt:lpwstr>
  </property>
  <property fmtid="{D5CDD505-2E9C-101B-9397-08002B2CF9AE}" pid="12" name="SD_DocumentLanguageString">
    <vt:lpwstr>Dansk</vt:lpwstr>
  </property>
  <property fmtid="{D5CDD505-2E9C-101B-9397-08002B2CF9AE}" pid="13" name="SD_CtlText_Usersettings_Userprofile">
    <vt:lpwstr>Merete Buus WordEngine profil</vt:lpwstr>
  </property>
  <property fmtid="{D5CDD505-2E9C-101B-9397-08002B2CF9AE}" pid="14" name="SD_CtlText_Generelt_CaseNo">
    <vt:lpwstr>&lt;sagsnr&gt;</vt:lpwstr>
  </property>
  <property fmtid="{D5CDD505-2E9C-101B-9397-08002B2CF9AE}" pid="15" name="SD_UserprofileName">
    <vt:lpwstr>Merete Buus WordEngine profil</vt:lpwstr>
  </property>
  <property fmtid="{D5CDD505-2E9C-101B-9397-08002B2CF9AE}" pid="16" name="SD_Office_OFF_ID">
    <vt:lpwstr>91</vt:lpwstr>
  </property>
  <property fmtid="{D5CDD505-2E9C-101B-9397-08002B2CF9AE}" pid="17" name="CurrentOfficeID">
    <vt:lpwstr>91</vt:lpwstr>
  </property>
  <property fmtid="{D5CDD505-2E9C-101B-9397-08002B2CF9AE}" pid="18" name="SD_Office_OFF_Organisation">
    <vt:lpwstr>LBST</vt:lpwstr>
  </property>
  <property fmtid="{D5CDD505-2E9C-101B-9397-08002B2CF9AE}" pid="19" name="SD_Office_OFF_ArtworkDefinition">
    <vt:lpwstr>MFVM</vt:lpwstr>
  </property>
  <property fmtid="{D5CDD505-2E9C-101B-9397-08002B2CF9AE}" pid="20" name="SD_Office_OFF_LogoFileName">
    <vt:lpwstr>LBST</vt:lpwstr>
  </property>
  <property fmtid="{D5CDD505-2E9C-101B-9397-08002B2CF9AE}" pid="21" name="SD_Office_OFF_Institution">
    <vt:lpwstr>Landbrugsstyrelsen</vt:lpwstr>
  </property>
  <property fmtid="{D5CDD505-2E9C-101B-9397-08002B2CF9AE}" pid="22" name="SD_Office_OFF_Institution_EN">
    <vt:lpwstr>The Danish Agricultural Agency</vt:lpwstr>
  </property>
  <property fmtid="{D5CDD505-2E9C-101B-9397-08002B2CF9AE}" pid="23" name="SD_Office_OFF_kontor">
    <vt:lpwstr>Landbrugsstyrelsen</vt:lpwstr>
  </property>
  <property fmtid="{D5CDD505-2E9C-101B-9397-08002B2CF9AE}" pid="24" name="SD_Office_OFF_Department">
    <vt:lpwstr/>
  </property>
  <property fmtid="{D5CDD505-2E9C-101B-9397-08002B2CF9AE}" pid="25" name="SD_Office_OFF_Department_EN">
    <vt:lpwstr/>
  </property>
  <property fmtid="{D5CDD505-2E9C-101B-9397-08002B2CF9AE}" pid="26" name="SD_Office_OFF_Footertext">
    <vt:lpwstr/>
  </property>
  <property fmtid="{D5CDD505-2E9C-101B-9397-08002B2CF9AE}" pid="27" name="SD_Office_OFF_AddressA">
    <vt:lpwstr>Nyropsgade 30</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Nyropsgade 30</vt:lpwstr>
  </property>
  <property fmtid="{D5CDD505-2E9C-101B-9397-08002B2CF9AE}" pid="31" name="SD_Office_OFF_AddressD">
    <vt:lpwstr>1780</vt:lpwstr>
  </property>
  <property fmtid="{D5CDD505-2E9C-101B-9397-08002B2CF9AE}" pid="32" name="SD_Office_OFF_City">
    <vt:lpwstr>København V</vt:lpwstr>
  </property>
  <property fmtid="{D5CDD505-2E9C-101B-9397-08002B2CF9AE}" pid="33" name="SD_Office_OFF_City_EN">
    <vt:lpwstr>Copenhagen V Denmark</vt:lpwstr>
  </property>
  <property fmtid="{D5CDD505-2E9C-101B-9397-08002B2CF9AE}" pid="34" name="SD_Office_OFF_Phone">
    <vt:lpwstr>33 95 80 00</vt:lpwstr>
  </property>
  <property fmtid="{D5CDD505-2E9C-101B-9397-08002B2CF9AE}" pid="35" name="SD_Office_OFF_Fax">
    <vt:lpwstr/>
  </property>
  <property fmtid="{D5CDD505-2E9C-101B-9397-08002B2CF9AE}" pid="36" name="SD_Office_OFF_Email">
    <vt:lpwstr>mail@lbst.dk</vt:lpwstr>
  </property>
  <property fmtid="{D5CDD505-2E9C-101B-9397-08002B2CF9AE}" pid="37" name="SD_Office_OFF_Web">
    <vt:lpwstr>www.lbst.dk</vt:lpwstr>
  </property>
  <property fmtid="{D5CDD505-2E9C-101B-9397-08002B2CF9AE}" pid="38" name="SD_Office_OFF_CVR">
    <vt:lpwstr>20814616</vt:lpwstr>
  </property>
  <property fmtid="{D5CDD505-2E9C-101B-9397-08002B2CF9AE}" pid="39" name="SD_Office_OFF_EAN">
    <vt:lpwstr>5798000877955</vt:lpwstr>
  </property>
  <property fmtid="{D5CDD505-2E9C-101B-9397-08002B2CF9AE}" pid="40" name="SD_Office_OFF_ColorTheme">
    <vt:lpwstr>MFVM - NaturErhvervstyrelsen</vt:lpwstr>
  </property>
  <property fmtid="{D5CDD505-2E9C-101B-9397-08002B2CF9AE}" pid="41" name="USR_Name">
    <vt:lpwstr>Merete Buus (LFST)</vt:lpwstr>
  </property>
  <property fmtid="{D5CDD505-2E9C-101B-9397-08002B2CF9AE}" pid="42" name="USR_Initials">
    <vt:lpwstr>MEB</vt:lpwstr>
  </property>
  <property fmtid="{D5CDD505-2E9C-101B-9397-08002B2CF9AE}" pid="43" name="USR_Title">
    <vt:lpwstr>Specialkonsulent</vt:lpwstr>
  </property>
  <property fmtid="{D5CDD505-2E9C-101B-9397-08002B2CF9AE}" pid="44" name="USR_DirectPhone">
    <vt:lpwstr>+45 72 13 95 35</vt:lpwstr>
  </property>
  <property fmtid="{D5CDD505-2E9C-101B-9397-08002B2CF9AE}" pid="45" name="USR_Mobile">
    <vt:lpwstr>+45 45 26 37 20</vt:lpwstr>
  </property>
  <property fmtid="{D5CDD505-2E9C-101B-9397-08002B2CF9AE}" pid="46" name="USR_Email">
    <vt:lpwstr>meb@lfst.dk</vt:lpwstr>
  </property>
  <property fmtid="{D5CDD505-2E9C-101B-9397-08002B2CF9AE}" pid="47" name="DocumentInfoFinished">
    <vt:lpwstr>True</vt:lpwstr>
  </property>
  <property fmtid="{D5CDD505-2E9C-101B-9397-08002B2CF9AE}" pid="48" name="SD_DocumentLanguage">
    <vt:lpwstr>da-DK</vt:lpwstr>
  </property>
  <property fmtid="{D5CDD505-2E9C-101B-9397-08002B2CF9AE}" pid="49" name="sdDocumentDate">
    <vt:lpwstr>42836</vt:lpwstr>
  </property>
  <property fmtid="{D5CDD505-2E9C-101B-9397-08002B2CF9AE}" pid="50" name="sdDocumentDateFormat">
    <vt:lpwstr>da-DK:'Den' d. MMMM yyyy</vt:lpwstr>
  </property>
  <property fmtid="{D5CDD505-2E9C-101B-9397-08002B2CF9AE}" pid="51" name="SD_Office_OFF_Phone_EN">
    <vt:lpwstr>+45 33 95 80 00</vt:lpwstr>
  </property>
  <property fmtid="{D5CDD505-2E9C-101B-9397-08002B2CF9AE}" pid="52" name="SD_Office_OFF_Fax_EN">
    <vt:lpwstr/>
  </property>
  <property fmtid="{D5CDD505-2E9C-101B-9397-08002B2CF9AE}" pid="53" name="SD_Office_OFF_EAN_EN">
    <vt:lpwstr>5798000877955</vt:lpwstr>
  </property>
  <property fmtid="{D5CDD505-2E9C-101B-9397-08002B2CF9AE}" pid="54" name="LastCompletedArtworkDefinition">
    <vt:lpwstr>MFVM</vt:lpwstr>
  </property>
</Properties>
</file>