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3DAE2" w14:textId="77777777" w:rsidR="00DD5F54" w:rsidRPr="00950297" w:rsidRDefault="00DD5F54"/>
    <w:tbl>
      <w:tblPr>
        <w:tblStyle w:val="Tabel-Git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47"/>
        <w:gridCol w:w="1276"/>
      </w:tblGrid>
      <w:tr w:rsidR="00DD5F54" w:rsidRPr="00950297" w14:paraId="2E7F81CF" w14:textId="77777777" w:rsidTr="00950297">
        <w:trPr>
          <w:gridAfter w:val="1"/>
          <w:wAfter w:w="1276" w:type="dxa"/>
          <w:cantSplit/>
          <w:trHeight w:val="2500"/>
        </w:trPr>
        <w:tc>
          <w:tcPr>
            <w:tcW w:w="8647" w:type="dxa"/>
          </w:tcPr>
          <w:p w14:paraId="5C01073C" w14:textId="77777777" w:rsidR="00DD5F54" w:rsidRPr="00950297" w:rsidRDefault="00DD5F54" w:rsidP="00DD5F54">
            <w:pPr>
              <w:tabs>
                <w:tab w:val="left" w:pos="7845"/>
              </w:tabs>
              <w:rPr>
                <w:b/>
                <w:sz w:val="18"/>
              </w:rPr>
            </w:pPr>
          </w:p>
        </w:tc>
      </w:tr>
      <w:tr w:rsidR="00021E8C" w:rsidRPr="00950297" w14:paraId="0A444426" w14:textId="77777777" w:rsidTr="00950297">
        <w:trPr>
          <w:cantSplit/>
          <w:trHeight w:val="504"/>
        </w:trPr>
        <w:tc>
          <w:tcPr>
            <w:tcW w:w="8647" w:type="dxa"/>
          </w:tcPr>
          <w:p w14:paraId="6CA3A316" w14:textId="77777777" w:rsidR="00541D1B" w:rsidRPr="00950297" w:rsidRDefault="00541D1B" w:rsidP="00541D1B">
            <w:pPr>
              <w:pStyle w:val="DocumentHeading"/>
            </w:pPr>
            <w:r w:rsidRPr="00950297">
              <w:t xml:space="preserve"> </w:t>
            </w:r>
            <w:r w:rsidR="00950297">
              <w:t xml:space="preserve">Referat fra møde i Udvalg for </w:t>
            </w:r>
            <w:r w:rsidR="00DD5F54">
              <w:t>skovfrø og –p</w:t>
            </w:r>
            <w:r w:rsidR="00950297">
              <w:t>lante</w:t>
            </w:r>
            <w:r w:rsidR="00DD5F54">
              <w:t>r 24. januar 2018</w:t>
            </w:r>
          </w:p>
          <w:p w14:paraId="5CB4685E" w14:textId="77777777" w:rsidR="00541D1B" w:rsidRPr="00950297" w:rsidRDefault="00541D1B" w:rsidP="00541D1B"/>
        </w:tc>
        <w:tc>
          <w:tcPr>
            <w:tcW w:w="1276" w:type="dxa"/>
          </w:tcPr>
          <w:p w14:paraId="1014D536" w14:textId="77777777" w:rsidR="00541D1B" w:rsidRPr="00950297" w:rsidRDefault="00541D1B" w:rsidP="00557A69"/>
        </w:tc>
      </w:tr>
    </w:tbl>
    <w:p w14:paraId="77F71CE0" w14:textId="77777777" w:rsidR="00147799" w:rsidRPr="00950297" w:rsidRDefault="004F2491" w:rsidP="00F256CF">
      <w:pPr>
        <w:pStyle w:val="Overskrift1"/>
        <w:spacing w:before="240" w:after="120" w:line="288" w:lineRule="auto"/>
      </w:pPr>
      <w:r>
        <w:t>Deltagere</w:t>
      </w:r>
    </w:p>
    <w:p w14:paraId="5E1BAA9E" w14:textId="77777777" w:rsidR="00775306" w:rsidRDefault="00DD5F54" w:rsidP="00F256CF">
      <w:pPr>
        <w:spacing w:after="120" w:line="288" w:lineRule="auto"/>
      </w:pPr>
      <w:r>
        <w:rPr>
          <w:rStyle w:val="ParadigmeKommentar"/>
          <w:color w:val="auto"/>
          <w:sz w:val="20"/>
        </w:rPr>
        <w:t xml:space="preserve">Erik Dahl Kjær, Søren Hald, Pernille </w:t>
      </w:r>
      <w:proofErr w:type="spellStart"/>
      <w:r>
        <w:rPr>
          <w:rStyle w:val="ParadigmeKommentar"/>
          <w:color w:val="auto"/>
          <w:sz w:val="20"/>
        </w:rPr>
        <w:t>Karlog</w:t>
      </w:r>
      <w:proofErr w:type="spellEnd"/>
      <w:r>
        <w:rPr>
          <w:rStyle w:val="ParadigmeKommentar"/>
          <w:color w:val="auto"/>
          <w:sz w:val="20"/>
        </w:rPr>
        <w:t xml:space="preserve">, Bruno Bilde Jørgensen, Ulrik </w:t>
      </w:r>
      <w:proofErr w:type="spellStart"/>
      <w:r>
        <w:rPr>
          <w:rStyle w:val="ParadigmeKommentar"/>
          <w:color w:val="auto"/>
          <w:sz w:val="20"/>
        </w:rPr>
        <w:t>Nyvold</w:t>
      </w:r>
      <w:proofErr w:type="spellEnd"/>
      <w:r>
        <w:rPr>
          <w:rStyle w:val="ParadigmeKommentar"/>
          <w:color w:val="auto"/>
          <w:sz w:val="20"/>
        </w:rPr>
        <w:t xml:space="preserve">, Gunnar Friis </w:t>
      </w:r>
      <w:proofErr w:type="spellStart"/>
      <w:r>
        <w:rPr>
          <w:rStyle w:val="ParadigmeKommentar"/>
          <w:color w:val="auto"/>
          <w:sz w:val="20"/>
        </w:rPr>
        <w:t>Proschowsky</w:t>
      </w:r>
      <w:proofErr w:type="spellEnd"/>
      <w:r>
        <w:rPr>
          <w:rStyle w:val="ParadigmeKommentar"/>
          <w:color w:val="auto"/>
          <w:sz w:val="20"/>
        </w:rPr>
        <w:t>, Peter Ladegaard Jensen, Bjarne Pugholm Johansen og Morten Krogh</w:t>
      </w:r>
      <w:r w:rsidR="00F256CF">
        <w:rPr>
          <w:rStyle w:val="ParadigmeKommentar"/>
          <w:color w:val="auto"/>
          <w:sz w:val="20"/>
        </w:rPr>
        <w:t>.</w:t>
      </w:r>
    </w:p>
    <w:p w14:paraId="666D694E" w14:textId="77777777" w:rsidR="00021E8C" w:rsidRPr="00950297" w:rsidRDefault="00775306" w:rsidP="00F256CF">
      <w:pPr>
        <w:spacing w:after="120" w:line="288" w:lineRule="auto"/>
      </w:pPr>
      <w:r>
        <w:t xml:space="preserve">Fra LFST deltog </w:t>
      </w:r>
      <w:r w:rsidR="004F2491">
        <w:t xml:space="preserve">Kristine Riskær, </w:t>
      </w:r>
      <w:r w:rsidR="00DD5F54">
        <w:t>Bettina Gylden</w:t>
      </w:r>
      <w:r w:rsidR="004F2491">
        <w:t xml:space="preserve"> og Merete Buus (referent).</w:t>
      </w:r>
    </w:p>
    <w:p w14:paraId="0E6DC37C" w14:textId="77777777" w:rsidR="00F44CF6" w:rsidRPr="00950297" w:rsidRDefault="00775306" w:rsidP="00F256CF">
      <w:pPr>
        <w:pStyle w:val="Overskrift1"/>
        <w:spacing w:before="240" w:after="120" w:line="288" w:lineRule="auto"/>
      </w:pPr>
      <w:r>
        <w:t>Afbud</w:t>
      </w:r>
    </w:p>
    <w:p w14:paraId="23F11FF9" w14:textId="77777777" w:rsidR="00F44CF6" w:rsidRPr="00950297" w:rsidRDefault="00DD5F54" w:rsidP="00F256CF">
      <w:pPr>
        <w:spacing w:after="120" w:line="288" w:lineRule="auto"/>
        <w:rPr>
          <w:rStyle w:val="ParadigmeKommentar"/>
          <w:color w:val="auto"/>
          <w:sz w:val="20"/>
        </w:rPr>
      </w:pPr>
      <w:r>
        <w:rPr>
          <w:rStyle w:val="ParadigmeKommentar"/>
          <w:color w:val="auto"/>
          <w:sz w:val="20"/>
        </w:rPr>
        <w:t xml:space="preserve">Jan Svejgaard Jensen, Martin Jensen, Thure P. Hauser, Søren Iversen, John </w:t>
      </w:r>
      <w:proofErr w:type="spellStart"/>
      <w:r>
        <w:rPr>
          <w:rStyle w:val="ParadigmeKommentar"/>
          <w:color w:val="auto"/>
          <w:sz w:val="20"/>
        </w:rPr>
        <w:t>Norrie</w:t>
      </w:r>
      <w:proofErr w:type="spellEnd"/>
      <w:r>
        <w:rPr>
          <w:rStyle w:val="ParadigmeKommentar"/>
          <w:color w:val="auto"/>
          <w:sz w:val="20"/>
        </w:rPr>
        <w:t xml:space="preserve">, Niels Otto Lundstedt og Claus </w:t>
      </w:r>
      <w:proofErr w:type="spellStart"/>
      <w:r>
        <w:rPr>
          <w:rStyle w:val="ParadigmeKommentar"/>
          <w:color w:val="auto"/>
          <w:sz w:val="20"/>
        </w:rPr>
        <w:t>Jerram</w:t>
      </w:r>
      <w:proofErr w:type="spellEnd"/>
      <w:r>
        <w:rPr>
          <w:rStyle w:val="ParadigmeKommentar"/>
          <w:color w:val="auto"/>
          <w:sz w:val="20"/>
        </w:rPr>
        <w:t xml:space="preserve"> Christensen</w:t>
      </w:r>
      <w:r w:rsidR="004F2491">
        <w:rPr>
          <w:rStyle w:val="ParadigmeKommentar"/>
          <w:color w:val="auto"/>
          <w:sz w:val="20"/>
        </w:rPr>
        <w:t>.</w:t>
      </w:r>
    </w:p>
    <w:tbl>
      <w:tblPr>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510"/>
        <w:gridCol w:w="1255"/>
      </w:tblGrid>
      <w:tr w:rsidR="001C10ED" w:rsidRPr="00D1544F" w14:paraId="4B0CB66E" w14:textId="77777777" w:rsidTr="005E6E44">
        <w:trPr>
          <w:trHeight w:val="454"/>
          <w:tblHeader/>
          <w:jc w:val="center"/>
        </w:trPr>
        <w:tc>
          <w:tcPr>
            <w:tcW w:w="5000" w:type="pct"/>
            <w:gridSpan w:val="3"/>
            <w:shd w:val="clear" w:color="auto" w:fill="003127"/>
            <w:vAlign w:val="center"/>
          </w:tcPr>
          <w:p w14:paraId="74646893" w14:textId="77777777" w:rsidR="001C10ED" w:rsidRPr="00D1544F" w:rsidRDefault="001C10ED" w:rsidP="00F256CF">
            <w:pPr>
              <w:spacing w:after="120" w:line="288" w:lineRule="auto"/>
              <w:rPr>
                <w:color w:val="FFFFFF"/>
              </w:rPr>
            </w:pPr>
            <w:r>
              <w:rPr>
                <w:color w:val="FFFFFF"/>
              </w:rPr>
              <w:t>Dagsorden for mødet (REV1)</w:t>
            </w:r>
          </w:p>
        </w:tc>
      </w:tr>
      <w:tr w:rsidR="001C10ED" w:rsidRPr="00D1544F" w14:paraId="2662CD77" w14:textId="77777777" w:rsidTr="005E6E44">
        <w:trPr>
          <w:trHeight w:val="397"/>
          <w:jc w:val="center"/>
        </w:trPr>
        <w:tc>
          <w:tcPr>
            <w:tcW w:w="403" w:type="pct"/>
            <w:vAlign w:val="center"/>
          </w:tcPr>
          <w:p w14:paraId="41BF6A82" w14:textId="77777777" w:rsidR="001C10ED" w:rsidRPr="00D1544F" w:rsidRDefault="001C10ED" w:rsidP="00F256CF">
            <w:pPr>
              <w:spacing w:after="120" w:line="288" w:lineRule="auto"/>
              <w:rPr>
                <w:color w:val="000000"/>
              </w:rPr>
            </w:pPr>
            <w:r>
              <w:rPr>
                <w:color w:val="000000"/>
              </w:rPr>
              <w:t>1.</w:t>
            </w:r>
          </w:p>
        </w:tc>
        <w:tc>
          <w:tcPr>
            <w:tcW w:w="3854" w:type="pct"/>
            <w:vAlign w:val="center"/>
          </w:tcPr>
          <w:p w14:paraId="6765E12E" w14:textId="77777777" w:rsidR="001C10ED" w:rsidRPr="00136070" w:rsidRDefault="001C10ED" w:rsidP="00F256CF">
            <w:pPr>
              <w:spacing w:after="120" w:line="288" w:lineRule="auto"/>
              <w:rPr>
                <w:color w:val="000000"/>
              </w:rPr>
            </w:pPr>
            <w:r w:rsidRPr="00136070">
              <w:rPr>
                <w:color w:val="000000"/>
              </w:rPr>
              <w:t>Velkomst</w:t>
            </w:r>
          </w:p>
        </w:tc>
        <w:tc>
          <w:tcPr>
            <w:tcW w:w="743" w:type="pct"/>
            <w:vAlign w:val="center"/>
          </w:tcPr>
          <w:p w14:paraId="4A7C8763" w14:textId="77777777" w:rsidR="001C10ED" w:rsidRPr="00D1544F" w:rsidRDefault="001C10ED" w:rsidP="00F256CF">
            <w:pPr>
              <w:spacing w:after="120" w:line="288" w:lineRule="auto"/>
            </w:pPr>
          </w:p>
        </w:tc>
      </w:tr>
      <w:tr w:rsidR="001C10ED" w:rsidRPr="00D1544F" w14:paraId="33492DC2" w14:textId="77777777" w:rsidTr="005E6E44">
        <w:trPr>
          <w:trHeight w:val="397"/>
          <w:jc w:val="center"/>
        </w:trPr>
        <w:tc>
          <w:tcPr>
            <w:tcW w:w="403" w:type="pct"/>
            <w:vAlign w:val="center"/>
          </w:tcPr>
          <w:p w14:paraId="3771024E" w14:textId="77777777" w:rsidR="001C10ED" w:rsidRPr="00D1544F" w:rsidRDefault="001C10ED" w:rsidP="00F256CF">
            <w:pPr>
              <w:spacing w:after="120" w:line="288" w:lineRule="auto"/>
              <w:rPr>
                <w:color w:val="000000"/>
              </w:rPr>
            </w:pPr>
            <w:r>
              <w:rPr>
                <w:color w:val="000000"/>
              </w:rPr>
              <w:t>2.</w:t>
            </w:r>
          </w:p>
        </w:tc>
        <w:tc>
          <w:tcPr>
            <w:tcW w:w="3854" w:type="pct"/>
            <w:vAlign w:val="center"/>
          </w:tcPr>
          <w:p w14:paraId="05724D65" w14:textId="77777777" w:rsidR="001C10ED" w:rsidRPr="00136070" w:rsidRDefault="001C10ED" w:rsidP="00F256CF">
            <w:pPr>
              <w:spacing w:after="120" w:line="288" w:lineRule="auto"/>
              <w:rPr>
                <w:color w:val="000000"/>
              </w:rPr>
            </w:pPr>
            <w:r w:rsidRPr="00136070">
              <w:rPr>
                <w:color w:val="000000"/>
              </w:rPr>
              <w:t>Godkendelse af dagsorden</w:t>
            </w:r>
          </w:p>
        </w:tc>
        <w:tc>
          <w:tcPr>
            <w:tcW w:w="743" w:type="pct"/>
            <w:vAlign w:val="center"/>
          </w:tcPr>
          <w:p w14:paraId="0D0FD41E" w14:textId="77777777" w:rsidR="001C10ED" w:rsidRPr="00D1544F" w:rsidRDefault="001C10ED" w:rsidP="00F256CF">
            <w:pPr>
              <w:spacing w:after="120" w:line="288" w:lineRule="auto"/>
              <w:rPr>
                <w:color w:val="000000"/>
              </w:rPr>
            </w:pPr>
          </w:p>
        </w:tc>
      </w:tr>
      <w:tr w:rsidR="001C10ED" w:rsidRPr="001C10ED" w14:paraId="78E505CF" w14:textId="77777777" w:rsidTr="005E6E44">
        <w:trPr>
          <w:trHeight w:val="397"/>
          <w:jc w:val="center"/>
        </w:trPr>
        <w:tc>
          <w:tcPr>
            <w:tcW w:w="403" w:type="pct"/>
            <w:vAlign w:val="center"/>
          </w:tcPr>
          <w:p w14:paraId="196D416C" w14:textId="77777777" w:rsidR="001C10ED" w:rsidRPr="001C10ED" w:rsidRDefault="001C10ED" w:rsidP="00F256CF">
            <w:pPr>
              <w:spacing w:after="120" w:line="288" w:lineRule="auto"/>
              <w:rPr>
                <w:color w:val="000000"/>
              </w:rPr>
            </w:pPr>
            <w:r w:rsidRPr="001C10ED">
              <w:rPr>
                <w:color w:val="000000"/>
              </w:rPr>
              <w:t>3.</w:t>
            </w:r>
          </w:p>
        </w:tc>
        <w:tc>
          <w:tcPr>
            <w:tcW w:w="3854" w:type="pct"/>
            <w:vAlign w:val="center"/>
          </w:tcPr>
          <w:p w14:paraId="0F738CD3" w14:textId="77777777" w:rsidR="001C10ED" w:rsidRPr="001C10ED" w:rsidRDefault="001C10ED" w:rsidP="00F256CF">
            <w:pPr>
              <w:spacing w:after="120" w:line="288" w:lineRule="auto"/>
              <w:rPr>
                <w:color w:val="000000"/>
              </w:rPr>
            </w:pPr>
            <w:r w:rsidRPr="001C10ED">
              <w:rPr>
                <w:color w:val="000000"/>
              </w:rPr>
              <w:t xml:space="preserve">Orientering fra </w:t>
            </w:r>
            <w:r w:rsidRPr="001C10ED">
              <w:rPr>
                <w:sz w:val="22"/>
                <w:szCs w:val="22"/>
              </w:rPr>
              <w:t>Landbrugsstyrelsens</w:t>
            </w:r>
          </w:p>
          <w:p w14:paraId="5EEE4428" w14:textId="77777777" w:rsidR="001C10ED" w:rsidRPr="001C10ED" w:rsidRDefault="001C10ED" w:rsidP="00F256CF">
            <w:pPr>
              <w:pStyle w:val="Opstilling-talellerbogst"/>
              <w:numPr>
                <w:ilvl w:val="0"/>
                <w:numId w:val="28"/>
              </w:numPr>
              <w:spacing w:after="120" w:line="288" w:lineRule="auto"/>
            </w:pPr>
            <w:r w:rsidRPr="001C10ED">
              <w:t xml:space="preserve">Status på EU’s kontrolforordning og plantesundhedsforordning </w:t>
            </w:r>
          </w:p>
          <w:p w14:paraId="75B993A3" w14:textId="77777777" w:rsidR="001C10ED" w:rsidRPr="001C10ED" w:rsidRDefault="001C10ED" w:rsidP="00F256CF">
            <w:pPr>
              <w:pStyle w:val="Opstilling-talellerbogst"/>
              <w:numPr>
                <w:ilvl w:val="0"/>
                <w:numId w:val="28"/>
              </w:numPr>
              <w:spacing w:after="120" w:line="288" w:lineRule="auto"/>
            </w:pPr>
            <w:r w:rsidRPr="001C10ED">
              <w:t>Status på OECD</w:t>
            </w:r>
          </w:p>
          <w:p w14:paraId="6B61BDA3" w14:textId="77777777" w:rsidR="001C10ED" w:rsidRPr="001C10ED" w:rsidRDefault="001C10ED" w:rsidP="00F256CF">
            <w:pPr>
              <w:pStyle w:val="Opstilling-talellerbogst"/>
              <w:numPr>
                <w:ilvl w:val="0"/>
                <w:numId w:val="28"/>
              </w:numPr>
              <w:spacing w:after="120" w:line="288" w:lineRule="auto"/>
            </w:pPr>
            <w:r w:rsidRPr="001C10ED">
              <w:t>Udvalg for skovfrø og –planter</w:t>
            </w:r>
          </w:p>
          <w:p w14:paraId="1FB505EF" w14:textId="77777777" w:rsidR="001C10ED" w:rsidRPr="001C10ED" w:rsidRDefault="001C10ED" w:rsidP="00F256CF">
            <w:pPr>
              <w:pStyle w:val="Opstilling-talellerbogst"/>
              <w:numPr>
                <w:ilvl w:val="0"/>
                <w:numId w:val="28"/>
              </w:numPr>
              <w:spacing w:after="120" w:line="288" w:lineRule="auto"/>
            </w:pPr>
            <w:r w:rsidRPr="001C10ED">
              <w:t>Aftale med Kåringssekretariatet</w:t>
            </w:r>
          </w:p>
        </w:tc>
        <w:tc>
          <w:tcPr>
            <w:tcW w:w="743" w:type="pct"/>
            <w:vAlign w:val="center"/>
          </w:tcPr>
          <w:p w14:paraId="7EB17511" w14:textId="77777777" w:rsidR="001C10ED" w:rsidRPr="001C10ED" w:rsidRDefault="001C10ED" w:rsidP="00F256CF">
            <w:pPr>
              <w:spacing w:after="120" w:line="288" w:lineRule="auto"/>
              <w:rPr>
                <w:color w:val="000000"/>
              </w:rPr>
            </w:pPr>
          </w:p>
        </w:tc>
      </w:tr>
      <w:tr w:rsidR="001C10ED" w:rsidRPr="00D1544F" w14:paraId="47C053EB" w14:textId="77777777" w:rsidTr="005E6E44">
        <w:trPr>
          <w:trHeight w:val="397"/>
          <w:jc w:val="center"/>
        </w:trPr>
        <w:tc>
          <w:tcPr>
            <w:tcW w:w="403" w:type="pct"/>
            <w:vAlign w:val="center"/>
          </w:tcPr>
          <w:p w14:paraId="051CC120" w14:textId="77777777" w:rsidR="001C10ED" w:rsidRDefault="001C10ED" w:rsidP="00F256CF">
            <w:pPr>
              <w:spacing w:after="120" w:line="288" w:lineRule="auto"/>
              <w:rPr>
                <w:color w:val="000000"/>
              </w:rPr>
            </w:pPr>
            <w:r>
              <w:rPr>
                <w:color w:val="000000"/>
              </w:rPr>
              <w:t>4.</w:t>
            </w:r>
          </w:p>
        </w:tc>
        <w:tc>
          <w:tcPr>
            <w:tcW w:w="3854" w:type="pct"/>
            <w:vAlign w:val="center"/>
          </w:tcPr>
          <w:p w14:paraId="3B29A3E5" w14:textId="77777777" w:rsidR="001C10ED" w:rsidRDefault="001C10ED" w:rsidP="00F256CF">
            <w:pPr>
              <w:spacing w:after="120" w:line="288" w:lineRule="auto"/>
              <w:rPr>
                <w:color w:val="000000"/>
              </w:rPr>
            </w:pPr>
            <w:r>
              <w:rPr>
                <w:color w:val="000000"/>
              </w:rPr>
              <w:t>Orientering fra Kåringssekretariatet</w:t>
            </w:r>
          </w:p>
        </w:tc>
        <w:tc>
          <w:tcPr>
            <w:tcW w:w="743" w:type="pct"/>
            <w:vAlign w:val="center"/>
          </w:tcPr>
          <w:p w14:paraId="478155AB" w14:textId="77777777" w:rsidR="001C10ED" w:rsidRDefault="001C10ED" w:rsidP="00F256CF">
            <w:pPr>
              <w:spacing w:after="120" w:line="288" w:lineRule="auto"/>
              <w:rPr>
                <w:color w:val="000000"/>
              </w:rPr>
            </w:pPr>
            <w:r>
              <w:rPr>
                <w:color w:val="000000"/>
              </w:rPr>
              <w:t>Bilag</w:t>
            </w:r>
          </w:p>
        </w:tc>
      </w:tr>
      <w:tr w:rsidR="001C10ED" w:rsidRPr="00D1544F" w14:paraId="2969BA1B" w14:textId="77777777" w:rsidTr="005E6E44">
        <w:trPr>
          <w:trHeight w:val="397"/>
          <w:jc w:val="center"/>
        </w:trPr>
        <w:tc>
          <w:tcPr>
            <w:tcW w:w="403" w:type="pct"/>
            <w:vAlign w:val="center"/>
          </w:tcPr>
          <w:p w14:paraId="38602D32" w14:textId="77777777" w:rsidR="001C10ED" w:rsidRDefault="001C10ED" w:rsidP="00F256CF">
            <w:pPr>
              <w:spacing w:after="120" w:line="288" w:lineRule="auto"/>
              <w:rPr>
                <w:color w:val="000000"/>
              </w:rPr>
            </w:pPr>
            <w:r>
              <w:rPr>
                <w:color w:val="000000"/>
              </w:rPr>
              <w:t>5.</w:t>
            </w:r>
          </w:p>
        </w:tc>
        <w:tc>
          <w:tcPr>
            <w:tcW w:w="3854" w:type="pct"/>
            <w:vAlign w:val="center"/>
          </w:tcPr>
          <w:p w14:paraId="5CB2B44C" w14:textId="77777777" w:rsidR="001C10ED" w:rsidRDefault="001C10ED" w:rsidP="00F256CF">
            <w:pPr>
              <w:spacing w:after="120" w:line="288" w:lineRule="auto"/>
              <w:rPr>
                <w:color w:val="000000"/>
              </w:rPr>
            </w:pPr>
            <w:r>
              <w:rPr>
                <w:color w:val="000000"/>
              </w:rPr>
              <w:t>Status på Landbrugsstyrelsens kontrol</w:t>
            </w:r>
          </w:p>
          <w:p w14:paraId="4EBBBF58" w14:textId="77777777" w:rsidR="001C10ED" w:rsidRPr="00A03763" w:rsidRDefault="001C10ED" w:rsidP="00F256CF">
            <w:pPr>
              <w:pStyle w:val="Opstilling-talellerbogst"/>
              <w:numPr>
                <w:ilvl w:val="0"/>
                <w:numId w:val="29"/>
              </w:numPr>
              <w:spacing w:after="120" w:line="288" w:lineRule="auto"/>
            </w:pPr>
            <w:r>
              <w:t>Statistik</w:t>
            </w:r>
          </w:p>
          <w:p w14:paraId="13A876DA" w14:textId="77777777" w:rsidR="001C10ED" w:rsidRDefault="001C10ED" w:rsidP="00F256CF">
            <w:pPr>
              <w:pStyle w:val="Opstilling-talellerbogst"/>
              <w:numPr>
                <w:ilvl w:val="0"/>
                <w:numId w:val="29"/>
              </w:numPr>
              <w:spacing w:after="120" w:line="288" w:lineRule="auto"/>
            </w:pPr>
            <w:r>
              <w:t>Import og indsamling</w:t>
            </w:r>
          </w:p>
          <w:p w14:paraId="40E4418B" w14:textId="77777777" w:rsidR="001C10ED" w:rsidRDefault="001C10ED" w:rsidP="00F256CF">
            <w:pPr>
              <w:pStyle w:val="Opstilling-talellerbogst"/>
              <w:numPr>
                <w:ilvl w:val="0"/>
                <w:numId w:val="29"/>
              </w:numPr>
              <w:spacing w:after="120" w:line="288" w:lineRule="auto"/>
            </w:pPr>
            <w:r>
              <w:t>Omsætning i Danmark</w:t>
            </w:r>
          </w:p>
          <w:p w14:paraId="0FB33BC1" w14:textId="77777777" w:rsidR="001C10ED" w:rsidRDefault="001C10ED" w:rsidP="00F256CF">
            <w:pPr>
              <w:pStyle w:val="Opstilling-talellerbogst"/>
              <w:numPr>
                <w:ilvl w:val="0"/>
                <w:numId w:val="29"/>
              </w:numPr>
              <w:spacing w:after="120" w:line="288" w:lineRule="auto"/>
            </w:pPr>
            <w:r>
              <w:t>Aftalebaseret ordning</w:t>
            </w:r>
          </w:p>
          <w:p w14:paraId="6A080ED0" w14:textId="77777777" w:rsidR="001C10ED" w:rsidRPr="00EB7159" w:rsidRDefault="001C10ED" w:rsidP="00F256CF">
            <w:pPr>
              <w:pStyle w:val="Opstilling-talellerbogst"/>
              <w:numPr>
                <w:ilvl w:val="0"/>
                <w:numId w:val="29"/>
              </w:numPr>
              <w:spacing w:after="120" w:line="288" w:lineRule="auto"/>
            </w:pPr>
            <w:r>
              <w:t>Økonomi</w:t>
            </w:r>
          </w:p>
        </w:tc>
        <w:tc>
          <w:tcPr>
            <w:tcW w:w="743" w:type="pct"/>
            <w:vAlign w:val="center"/>
          </w:tcPr>
          <w:p w14:paraId="522D2823" w14:textId="77777777" w:rsidR="001C10ED" w:rsidRDefault="001C10ED" w:rsidP="00F256CF">
            <w:pPr>
              <w:spacing w:after="120" w:line="288" w:lineRule="auto"/>
              <w:rPr>
                <w:color w:val="000000"/>
              </w:rPr>
            </w:pPr>
            <w:r>
              <w:rPr>
                <w:color w:val="000000"/>
              </w:rPr>
              <w:t>Bilag</w:t>
            </w:r>
          </w:p>
        </w:tc>
      </w:tr>
      <w:tr w:rsidR="001C10ED" w:rsidRPr="00D1544F" w14:paraId="7E5310AD" w14:textId="77777777" w:rsidTr="005E6E44">
        <w:trPr>
          <w:trHeight w:val="397"/>
          <w:jc w:val="center"/>
        </w:trPr>
        <w:tc>
          <w:tcPr>
            <w:tcW w:w="403" w:type="pct"/>
            <w:vAlign w:val="center"/>
          </w:tcPr>
          <w:p w14:paraId="58156D28" w14:textId="77777777" w:rsidR="001C10ED" w:rsidRPr="00E05AC5" w:rsidRDefault="001C10ED" w:rsidP="00F256CF">
            <w:pPr>
              <w:spacing w:after="120" w:line="288" w:lineRule="auto"/>
              <w:rPr>
                <w:color w:val="000000"/>
              </w:rPr>
            </w:pPr>
            <w:r>
              <w:rPr>
                <w:color w:val="000000"/>
              </w:rPr>
              <w:t>6</w:t>
            </w:r>
            <w:r w:rsidRPr="00E05AC5">
              <w:rPr>
                <w:color w:val="000000"/>
              </w:rPr>
              <w:t>.</w:t>
            </w:r>
          </w:p>
        </w:tc>
        <w:tc>
          <w:tcPr>
            <w:tcW w:w="3854" w:type="pct"/>
            <w:vAlign w:val="center"/>
          </w:tcPr>
          <w:p w14:paraId="49097F15" w14:textId="77777777" w:rsidR="001C10ED" w:rsidRPr="00E05AC5" w:rsidRDefault="001C10ED" w:rsidP="00F256CF">
            <w:pPr>
              <w:spacing w:after="120" w:line="288" w:lineRule="auto"/>
              <w:rPr>
                <w:color w:val="000000"/>
              </w:rPr>
            </w:pPr>
            <w:r w:rsidRPr="00E05AC5">
              <w:rPr>
                <w:color w:val="000000"/>
              </w:rPr>
              <w:t>Diskussionspunkter</w:t>
            </w:r>
          </w:p>
          <w:p w14:paraId="0C5D2385" w14:textId="77777777" w:rsidR="001C10ED" w:rsidRPr="00E05AC5" w:rsidRDefault="001C10ED" w:rsidP="00F256CF">
            <w:pPr>
              <w:pStyle w:val="Opstilling-talellerbogst"/>
              <w:numPr>
                <w:ilvl w:val="0"/>
                <w:numId w:val="30"/>
              </w:numPr>
              <w:spacing w:after="120" w:line="288" w:lineRule="auto"/>
            </w:pPr>
            <w:r w:rsidRPr="00E05AC5">
              <w:t>Krav til hybridprocent for frø af hybridlærk, fortsat fra seneste møde</w:t>
            </w:r>
          </w:p>
          <w:p w14:paraId="6C286574" w14:textId="77777777" w:rsidR="001C10ED" w:rsidRPr="007F69A3" w:rsidRDefault="001C10ED" w:rsidP="00F256CF">
            <w:pPr>
              <w:pStyle w:val="Opstilling-talellerbogst"/>
              <w:numPr>
                <w:ilvl w:val="0"/>
                <w:numId w:val="30"/>
              </w:numPr>
              <w:spacing w:after="120" w:line="288" w:lineRule="auto"/>
            </w:pPr>
            <w:r w:rsidRPr="00E05AC5">
              <w:rPr>
                <w:rFonts w:cs="Arial"/>
                <w:color w:val="000000"/>
              </w:rPr>
              <w:lastRenderedPageBreak/>
              <w:t>Orientering om kampen mod invasive arter og den fremtidige koordinering med udvalgets arbejde</w:t>
            </w:r>
          </w:p>
          <w:p w14:paraId="64C8FF8F" w14:textId="77777777" w:rsidR="001C10ED" w:rsidRPr="003D0258" w:rsidRDefault="001C10ED" w:rsidP="00F256CF">
            <w:pPr>
              <w:pStyle w:val="Opstilling-talellerbogst"/>
              <w:numPr>
                <w:ilvl w:val="0"/>
                <w:numId w:val="30"/>
              </w:numPr>
              <w:spacing w:after="120" w:line="288" w:lineRule="auto"/>
            </w:pPr>
            <w:r>
              <w:rPr>
                <w:rFonts w:cs="Arial"/>
                <w:color w:val="000000"/>
              </w:rPr>
              <w:t>Geografisk angivelse af kårede bevoksninger (LBST) fra sidste års referat pkt. 7c</w:t>
            </w:r>
          </w:p>
          <w:p w14:paraId="0E010ADC" w14:textId="77777777" w:rsidR="001C10ED" w:rsidRPr="00E05AC5" w:rsidRDefault="001C10ED" w:rsidP="00F256CF">
            <w:pPr>
              <w:pStyle w:val="Opstilling-talellerbogst"/>
              <w:numPr>
                <w:ilvl w:val="0"/>
                <w:numId w:val="30"/>
              </w:numPr>
              <w:spacing w:after="120" w:line="288" w:lineRule="auto"/>
            </w:pPr>
            <w:r>
              <w:rPr>
                <w:rFonts w:cs="Arial"/>
                <w:color w:val="000000"/>
              </w:rPr>
              <w:t>Skovstrategi</w:t>
            </w:r>
          </w:p>
        </w:tc>
        <w:tc>
          <w:tcPr>
            <w:tcW w:w="743" w:type="pct"/>
            <w:vAlign w:val="center"/>
          </w:tcPr>
          <w:p w14:paraId="590A61B4" w14:textId="77777777" w:rsidR="001C10ED" w:rsidRPr="003D0258" w:rsidRDefault="001C10ED" w:rsidP="00F256CF">
            <w:pPr>
              <w:spacing w:after="120" w:line="288" w:lineRule="auto"/>
              <w:rPr>
                <w:color w:val="000000"/>
              </w:rPr>
            </w:pPr>
            <w:r w:rsidRPr="003D0258">
              <w:rPr>
                <w:color w:val="000000"/>
              </w:rPr>
              <w:lastRenderedPageBreak/>
              <w:t>Bilag</w:t>
            </w:r>
          </w:p>
        </w:tc>
      </w:tr>
      <w:tr w:rsidR="001C10ED" w:rsidRPr="00D1544F" w14:paraId="19E745AC" w14:textId="77777777" w:rsidTr="005E6E44">
        <w:trPr>
          <w:trHeight w:val="397"/>
          <w:jc w:val="center"/>
        </w:trPr>
        <w:tc>
          <w:tcPr>
            <w:tcW w:w="403" w:type="pct"/>
            <w:vAlign w:val="center"/>
          </w:tcPr>
          <w:p w14:paraId="53B3B854" w14:textId="77777777" w:rsidR="001C10ED" w:rsidRDefault="001C10ED" w:rsidP="00F256CF">
            <w:pPr>
              <w:spacing w:after="120" w:line="288" w:lineRule="auto"/>
              <w:rPr>
                <w:color w:val="000000"/>
              </w:rPr>
            </w:pPr>
            <w:r>
              <w:rPr>
                <w:color w:val="000000"/>
              </w:rPr>
              <w:t>7.</w:t>
            </w:r>
          </w:p>
        </w:tc>
        <w:tc>
          <w:tcPr>
            <w:tcW w:w="3854" w:type="pct"/>
          </w:tcPr>
          <w:p w14:paraId="30B3558B" w14:textId="77777777" w:rsidR="001C10ED" w:rsidRPr="003D0258" w:rsidRDefault="001C10ED" w:rsidP="00F256CF">
            <w:pPr>
              <w:spacing w:after="120" w:line="288" w:lineRule="auto"/>
            </w:pPr>
            <w:r w:rsidRPr="003D0258">
              <w:t>Introduktion til dagens ekskursion:</w:t>
            </w:r>
          </w:p>
          <w:p w14:paraId="6AE585F7" w14:textId="77777777" w:rsidR="001C10ED" w:rsidRPr="003D0258" w:rsidRDefault="001C10ED" w:rsidP="00F256CF">
            <w:pPr>
              <w:spacing w:after="120" w:line="288" w:lineRule="auto"/>
            </w:pPr>
            <w:r w:rsidRPr="003D0258">
              <w:t xml:space="preserve">Planen er at vi kører til Saltbjerg, det ligger på Tøndervej </w:t>
            </w:r>
          </w:p>
          <w:p w14:paraId="02515815" w14:textId="77777777" w:rsidR="001C10ED" w:rsidRPr="003D0258" w:rsidRDefault="00731109" w:rsidP="00F256CF">
            <w:pPr>
              <w:spacing w:after="120" w:line="288" w:lineRule="auto"/>
            </w:pPr>
            <w:hyperlink r:id="rId7" w:history="1">
              <w:r w:rsidR="001C10ED" w:rsidRPr="003D0258">
                <w:rPr>
                  <w:rStyle w:val="Hyperlink"/>
                </w:rPr>
                <w:t>http://naturstyrelsen.dk/media/209518/a_68-e-bog.pdf</w:t>
              </w:r>
            </w:hyperlink>
          </w:p>
          <w:p w14:paraId="05ACE125" w14:textId="77777777" w:rsidR="001C10ED" w:rsidRPr="003D0258" w:rsidRDefault="001C10ED" w:rsidP="00F256CF">
            <w:pPr>
              <w:spacing w:before="40" w:after="120" w:line="288" w:lineRule="auto"/>
              <w:rPr>
                <w:i/>
              </w:rPr>
            </w:pPr>
            <w:r w:rsidRPr="003D0258">
              <w:t>Temaet bliver ’Frøkilder i NGR’ med udgangspunkt i Saltbjerg (F808), og frøplantager som den har bidraget til (vi besøger kun selve Saltbjerg).</w:t>
            </w:r>
          </w:p>
        </w:tc>
        <w:tc>
          <w:tcPr>
            <w:tcW w:w="743" w:type="pct"/>
            <w:vAlign w:val="center"/>
          </w:tcPr>
          <w:p w14:paraId="5445EECE" w14:textId="77777777" w:rsidR="001C10ED" w:rsidRDefault="001C10ED" w:rsidP="00F256CF">
            <w:pPr>
              <w:spacing w:after="120" w:line="288" w:lineRule="auto"/>
              <w:rPr>
                <w:color w:val="000000"/>
              </w:rPr>
            </w:pPr>
          </w:p>
        </w:tc>
      </w:tr>
      <w:tr w:rsidR="001C10ED" w:rsidRPr="00D1544F" w14:paraId="4ECA9238" w14:textId="77777777" w:rsidTr="005E6E44">
        <w:trPr>
          <w:trHeight w:val="397"/>
          <w:jc w:val="center"/>
        </w:trPr>
        <w:tc>
          <w:tcPr>
            <w:tcW w:w="403" w:type="pct"/>
            <w:vAlign w:val="center"/>
          </w:tcPr>
          <w:p w14:paraId="586890CE" w14:textId="77777777" w:rsidR="001C10ED" w:rsidRDefault="001C10ED" w:rsidP="00F256CF">
            <w:pPr>
              <w:spacing w:after="120" w:line="288" w:lineRule="auto"/>
              <w:rPr>
                <w:color w:val="000000"/>
              </w:rPr>
            </w:pPr>
            <w:r>
              <w:rPr>
                <w:color w:val="000000"/>
              </w:rPr>
              <w:t>8.</w:t>
            </w:r>
          </w:p>
        </w:tc>
        <w:tc>
          <w:tcPr>
            <w:tcW w:w="3854" w:type="pct"/>
          </w:tcPr>
          <w:p w14:paraId="3E8806F4" w14:textId="77777777" w:rsidR="001C10ED" w:rsidRPr="001C30A6" w:rsidRDefault="001C10ED" w:rsidP="00F256CF">
            <w:pPr>
              <w:spacing w:before="40" w:after="120" w:line="288" w:lineRule="auto"/>
              <w:rPr>
                <w:i/>
              </w:rPr>
            </w:pPr>
            <w:r>
              <w:t>Eventuelt – herunder næste møde</w:t>
            </w:r>
          </w:p>
        </w:tc>
        <w:tc>
          <w:tcPr>
            <w:tcW w:w="743" w:type="pct"/>
            <w:vAlign w:val="center"/>
          </w:tcPr>
          <w:p w14:paraId="037F897F" w14:textId="77777777" w:rsidR="001C10ED" w:rsidRDefault="001C10ED" w:rsidP="00F256CF">
            <w:pPr>
              <w:spacing w:after="120" w:line="288" w:lineRule="auto"/>
              <w:rPr>
                <w:color w:val="000000"/>
              </w:rPr>
            </w:pPr>
          </w:p>
        </w:tc>
      </w:tr>
    </w:tbl>
    <w:p w14:paraId="4C585A51" w14:textId="77777777" w:rsidR="00775306" w:rsidRDefault="00775306" w:rsidP="00F256CF">
      <w:pPr>
        <w:spacing w:after="120" w:line="288" w:lineRule="auto"/>
        <w:rPr>
          <w:rFonts w:cs="Arial"/>
          <w:b/>
          <w:bCs/>
          <w:sz w:val="22"/>
          <w:szCs w:val="32"/>
        </w:rPr>
      </w:pPr>
    </w:p>
    <w:p w14:paraId="748DA572" w14:textId="77777777" w:rsidR="00021E8C" w:rsidRPr="00775306" w:rsidRDefault="001C10ED" w:rsidP="00F256CF">
      <w:pPr>
        <w:pStyle w:val="Overskrift1"/>
        <w:numPr>
          <w:ilvl w:val="0"/>
          <w:numId w:val="20"/>
        </w:numPr>
        <w:spacing w:before="240" w:after="120" w:line="288" w:lineRule="auto"/>
        <w:ind w:left="714" w:hanging="357"/>
      </w:pPr>
      <w:r>
        <w:t>Velkomst</w:t>
      </w:r>
    </w:p>
    <w:p w14:paraId="79110650" w14:textId="77777777" w:rsidR="002D1875" w:rsidRDefault="002D1875" w:rsidP="00F256CF">
      <w:pPr>
        <w:spacing w:after="120" w:line="288" w:lineRule="auto"/>
        <w:ind w:left="357"/>
      </w:pPr>
      <w:r>
        <w:t xml:space="preserve">Kristine Riskær (KRRI) </w:t>
      </w:r>
      <w:r w:rsidR="002A37B0">
        <w:t xml:space="preserve">bøde velkommen til </w:t>
      </w:r>
      <w:r w:rsidR="00D313BF">
        <w:t>Danmark i bedre balance I, hvor Landbrugsstyrelsen er kommet godt på plads i</w:t>
      </w:r>
      <w:r w:rsidR="002A37B0">
        <w:t xml:space="preserve"> Augustenborg</w:t>
      </w:r>
      <w:r w:rsidR="00D313BF">
        <w:t xml:space="preserve">. KRRI præsenterede herkomstholdet: Benjamin, Bettina og Merete. </w:t>
      </w:r>
    </w:p>
    <w:p w14:paraId="1D2C2DAA" w14:textId="77777777" w:rsidR="006655CC" w:rsidRPr="00775306" w:rsidRDefault="006655CC" w:rsidP="00F256CF">
      <w:pPr>
        <w:pStyle w:val="Overskrift1"/>
        <w:spacing w:before="240" w:after="120" w:line="288" w:lineRule="auto"/>
        <w:ind w:left="357"/>
      </w:pPr>
      <w:r>
        <w:t xml:space="preserve">2. </w:t>
      </w:r>
      <w:r w:rsidR="001C10ED">
        <w:t>Godkendelse af dagsorden</w:t>
      </w:r>
    </w:p>
    <w:p w14:paraId="42E09D50" w14:textId="77777777" w:rsidR="006655CC" w:rsidRDefault="00D313BF" w:rsidP="00F256CF">
      <w:pPr>
        <w:spacing w:after="120" w:line="288" w:lineRule="auto"/>
        <w:ind w:left="357"/>
      </w:pPr>
      <w:r>
        <w:t>Dagsordenen blev godkendt.</w:t>
      </w:r>
    </w:p>
    <w:p w14:paraId="3DFFD5A3" w14:textId="77777777" w:rsidR="00787EAA" w:rsidRDefault="00787EAA" w:rsidP="00F256CF">
      <w:pPr>
        <w:spacing w:before="240" w:after="120" w:line="288" w:lineRule="auto"/>
        <w:ind w:left="357"/>
        <w:rPr>
          <w:sz w:val="22"/>
          <w:szCs w:val="22"/>
        </w:rPr>
      </w:pPr>
      <w:r>
        <w:rPr>
          <w:b/>
          <w:sz w:val="22"/>
          <w:szCs w:val="22"/>
        </w:rPr>
        <w:t xml:space="preserve">3. </w:t>
      </w:r>
      <w:r w:rsidR="001C10ED">
        <w:rPr>
          <w:b/>
          <w:sz w:val="22"/>
          <w:szCs w:val="22"/>
        </w:rPr>
        <w:t>Orientering fra Landbrugsstyrelsen</w:t>
      </w:r>
    </w:p>
    <w:p w14:paraId="1AB3A44F" w14:textId="77777777" w:rsidR="00F00843" w:rsidRPr="00787EAA" w:rsidRDefault="00687CDF" w:rsidP="00F256CF">
      <w:pPr>
        <w:spacing w:after="120" w:line="288" w:lineRule="auto"/>
        <w:ind w:left="357"/>
      </w:pPr>
      <w:r>
        <w:rPr>
          <w:b/>
        </w:rPr>
        <w:t>3.1</w:t>
      </w:r>
      <w:r w:rsidR="00F00843">
        <w:rPr>
          <w:b/>
        </w:rPr>
        <w:t xml:space="preserve"> Status på EU’s kontrolforordning og plantesundhedsforordning</w:t>
      </w:r>
    </w:p>
    <w:p w14:paraId="78B33939" w14:textId="77777777" w:rsidR="00F00843" w:rsidRDefault="00D313BF" w:rsidP="00F256CF">
      <w:pPr>
        <w:spacing w:after="120" w:line="288" w:lineRule="auto"/>
        <w:ind w:left="357"/>
      </w:pPr>
      <w:r>
        <w:t xml:space="preserve">Merete Buus (MEB) orienterede om arbejdet med implementering af de nye forordninger om plantesundhed og kontrol (IMPLANT). LBST arbejder i 5 spor: </w:t>
      </w:r>
    </w:p>
    <w:p w14:paraId="0EA72756" w14:textId="77777777" w:rsidR="00D313BF" w:rsidRDefault="00D313BF" w:rsidP="00F256CF">
      <w:pPr>
        <w:spacing w:after="120" w:line="288" w:lineRule="auto"/>
        <w:ind w:left="357"/>
      </w:pPr>
      <w:r>
        <w:t>Spor 1: Ny kontrolmodel og kompetencestyrkelse</w:t>
      </w:r>
    </w:p>
    <w:p w14:paraId="3D9CC9D0" w14:textId="68B6EB7D" w:rsidR="00D313BF" w:rsidRDefault="00D313BF" w:rsidP="00F256CF">
      <w:pPr>
        <w:spacing w:after="120" w:line="288" w:lineRule="auto"/>
        <w:ind w:left="357"/>
      </w:pPr>
      <w:r>
        <w:t>Spor 2: Ris</w:t>
      </w:r>
      <w:r w:rsidR="002B73AA">
        <w:t>i</w:t>
      </w:r>
      <w:r>
        <w:t>kohåndtering: overvågning og beredskab</w:t>
      </w:r>
    </w:p>
    <w:p w14:paraId="42F6F38C" w14:textId="77777777" w:rsidR="00D313BF" w:rsidRDefault="00D313BF" w:rsidP="00F256CF">
      <w:pPr>
        <w:spacing w:after="120" w:line="288" w:lineRule="auto"/>
        <w:ind w:left="357"/>
      </w:pPr>
      <w:r>
        <w:t>Spor 3: Formidling: skadegørertrusler og offentlig bevågenhed af plantesundheden</w:t>
      </w:r>
    </w:p>
    <w:p w14:paraId="16EA2A89" w14:textId="77777777" w:rsidR="00D313BF" w:rsidRDefault="00D313BF" w:rsidP="00F256CF">
      <w:pPr>
        <w:spacing w:after="120" w:line="288" w:lineRule="auto"/>
        <w:ind w:left="357"/>
      </w:pPr>
      <w:r>
        <w:t>Spor 4: Nye trusler for plantesundheden og risikoanalyser</w:t>
      </w:r>
    </w:p>
    <w:p w14:paraId="306E9A18" w14:textId="77777777" w:rsidR="00D313BF" w:rsidRDefault="00D313BF" w:rsidP="00F256CF">
      <w:pPr>
        <w:spacing w:after="120" w:line="288" w:lineRule="auto"/>
        <w:ind w:left="357"/>
      </w:pPr>
      <w:r>
        <w:t>Spor 5: Digitale løsninger.</w:t>
      </w:r>
    </w:p>
    <w:p w14:paraId="1E1A59C5" w14:textId="77777777" w:rsidR="00D313BF" w:rsidRDefault="00D313BF" w:rsidP="00F256CF">
      <w:pPr>
        <w:spacing w:after="120" w:line="288" w:lineRule="auto"/>
        <w:ind w:left="357"/>
      </w:pPr>
      <w:r>
        <w:t>I forbindelse med IMPLANT udvikler LBST også på en ny gebyrmodel</w:t>
      </w:r>
      <w:r w:rsidR="008D0709">
        <w:t>, der skal sikre ensartethed mellem de enkelte kontroller.</w:t>
      </w:r>
    </w:p>
    <w:p w14:paraId="73F2A63E" w14:textId="77777777" w:rsidR="008D0709" w:rsidRDefault="008D0709" w:rsidP="00F256CF">
      <w:pPr>
        <w:spacing w:after="120" w:line="288" w:lineRule="auto"/>
        <w:ind w:left="357"/>
      </w:pPr>
      <w:r>
        <w:t xml:space="preserve">Kommissionen (KOM) og medlemsstaterne (MS) arbejder med gennemførelsesbestemmelser, der skal udmønte detaljerne i de nye forordninger. I den forbindelse er der udviklet standardskabeloner til plantepas og mulighed for at kombinere dem med certificeringsmærkesedler. </w:t>
      </w:r>
    </w:p>
    <w:p w14:paraId="3EE083E5" w14:textId="77777777" w:rsidR="008D0709" w:rsidRPr="008D0709" w:rsidRDefault="008D0709" w:rsidP="00F256CF">
      <w:pPr>
        <w:spacing w:after="120" w:line="288" w:lineRule="auto"/>
        <w:ind w:left="357"/>
      </w:pPr>
      <w:r>
        <w:t>Der kommer formentlig krav om plantesundhedscertifikater på al frøimport til EU</w:t>
      </w:r>
      <w:r w:rsidRPr="00D8025F">
        <w:t>. [</w:t>
      </w:r>
      <w:r w:rsidR="00D8025F" w:rsidRPr="00D8025F">
        <w:t xml:space="preserve">Formaterne </w:t>
      </w:r>
      <w:r w:rsidR="00D8025F">
        <w:t xml:space="preserve">på certifikaterne </w:t>
      </w:r>
      <w:r w:rsidR="00D8025F" w:rsidRPr="00D8025F">
        <w:t xml:space="preserve">er konventionsbestemt. EU kommer ikke til at stille andre krav til formatet på </w:t>
      </w:r>
      <w:r w:rsidR="00D8025F" w:rsidRPr="00D8025F">
        <w:lastRenderedPageBreak/>
        <w:t>plantesundhedscertifikater end de der stilles i regi af IPPC (heller ikke ift. IT). Med Traces bliver der andre anmeldeprocedurer men det er ikke noget</w:t>
      </w:r>
      <w:r w:rsidR="00D8025F">
        <w:t>,</w:t>
      </w:r>
      <w:r w:rsidR="00D8025F" w:rsidRPr="00D8025F">
        <w:t xml:space="preserve"> der kommer til at berøre certifikatformatet el. lign.</w:t>
      </w:r>
      <w:r w:rsidR="00D8025F">
        <w:t xml:space="preserve"> Indsat af ref.</w:t>
      </w:r>
      <w:r w:rsidRPr="00D8025F">
        <w:t>]</w:t>
      </w:r>
    </w:p>
    <w:p w14:paraId="4630CD45" w14:textId="77777777" w:rsidR="00F00843" w:rsidRPr="00787EAA" w:rsidRDefault="00687CDF" w:rsidP="00F256CF">
      <w:pPr>
        <w:spacing w:after="120" w:line="288" w:lineRule="auto"/>
        <w:ind w:left="357"/>
      </w:pPr>
      <w:r>
        <w:rPr>
          <w:b/>
        </w:rPr>
        <w:t>3.2</w:t>
      </w:r>
      <w:r w:rsidR="00F00843">
        <w:rPr>
          <w:b/>
        </w:rPr>
        <w:t xml:space="preserve"> Status på OECD</w:t>
      </w:r>
    </w:p>
    <w:p w14:paraId="593FAB2E" w14:textId="034A0A7C" w:rsidR="00F00843" w:rsidRDefault="00456617" w:rsidP="00F256CF">
      <w:pPr>
        <w:spacing w:after="120" w:line="288" w:lineRule="auto"/>
        <w:ind w:left="357"/>
      </w:pPr>
      <w:r>
        <w:t>MEB orienterede om det seneste OECD årsmøde om skovfrø og –plante</w:t>
      </w:r>
      <w:r w:rsidR="004D4423">
        <w:t>r</w:t>
      </w:r>
      <w:r>
        <w:t xml:space="preserve">, som blev afholdt i </w:t>
      </w:r>
      <w:r w:rsidR="004D4423">
        <w:t xml:space="preserve">LBST, </w:t>
      </w:r>
      <w:r>
        <w:t>København</w:t>
      </w:r>
      <w:r w:rsidR="004D4423">
        <w:t>,</w:t>
      </w:r>
      <w:r>
        <w:t xml:space="preserve"> i oktober</w:t>
      </w:r>
      <w:r w:rsidR="00B03C6D">
        <w:t xml:space="preserve"> 2017</w:t>
      </w:r>
      <w:r w:rsidR="004D4423">
        <w:t xml:space="preserve">. Det officielle referat sendes til udvalgets orientering, når det foreligger. Erik Dahl Kjær (EDK) og Pernille </w:t>
      </w:r>
      <w:proofErr w:type="spellStart"/>
      <w:r w:rsidR="004D4423">
        <w:t>Karlog</w:t>
      </w:r>
      <w:proofErr w:type="spellEnd"/>
      <w:r w:rsidR="004D4423">
        <w:t xml:space="preserve"> (PK) holdt oplæg om hhv. den danske skovsektor og det danske certificeringssystem. Storbritannien er interesseret i at deltage i OECD skovcertificeringsreglerne og Bulgarien er netop optaget i reglerne. OECD vil revidere strategien for reglerne, så den bedre afspejler udfordringerne. Der er udarbejdet </w:t>
      </w:r>
      <w:r w:rsidR="00B03C6D">
        <w:t>retningslinjer</w:t>
      </w:r>
      <w:r w:rsidR="004D4423">
        <w:t xml:space="preserve"> for frøhandlere</w:t>
      </w:r>
      <w:r w:rsidR="00B03C6D">
        <w:t>, som sendes til udvalgets orientering, når de offentliggøres</w:t>
      </w:r>
      <w:r w:rsidR="004D4423">
        <w:t xml:space="preserve">. </w:t>
      </w:r>
    </w:p>
    <w:p w14:paraId="7A96D8C0" w14:textId="77777777" w:rsidR="00F00843" w:rsidRPr="00787EAA" w:rsidRDefault="00687CDF" w:rsidP="00F256CF">
      <w:pPr>
        <w:spacing w:after="120" w:line="288" w:lineRule="auto"/>
        <w:ind w:left="357"/>
      </w:pPr>
      <w:r>
        <w:rPr>
          <w:b/>
        </w:rPr>
        <w:t>3.3</w:t>
      </w:r>
      <w:r w:rsidR="00F00843">
        <w:rPr>
          <w:b/>
        </w:rPr>
        <w:t xml:space="preserve"> Udvalg for skovfrø og -planter</w:t>
      </w:r>
    </w:p>
    <w:p w14:paraId="0806442D" w14:textId="77777777" w:rsidR="00F00843" w:rsidRDefault="00B03C6D" w:rsidP="00F256CF">
      <w:pPr>
        <w:spacing w:after="120" w:line="288" w:lineRule="auto"/>
        <w:ind w:left="357"/>
      </w:pPr>
      <w:r>
        <w:t xml:space="preserve">KRRI sagde, at udvalgets </w:t>
      </w:r>
      <w:r w:rsidR="00D63324">
        <w:t>funktionsperiode er udløbet. LBST sender brev ud til udvalgets medlemmer med tak for indsatsen og skriver til organisationerne med henblik på nye indstillinger for den kommende funktionsperiode. I den forbindelse ajourfører LBST også forretningsordenen.</w:t>
      </w:r>
    </w:p>
    <w:p w14:paraId="737220BA" w14:textId="77777777" w:rsidR="00787EAA" w:rsidRPr="00787EAA" w:rsidRDefault="00687CDF" w:rsidP="00F256CF">
      <w:pPr>
        <w:spacing w:after="120" w:line="288" w:lineRule="auto"/>
        <w:ind w:left="357"/>
      </w:pPr>
      <w:r>
        <w:rPr>
          <w:b/>
        </w:rPr>
        <w:t>3.4</w:t>
      </w:r>
      <w:r w:rsidR="00787EAA">
        <w:rPr>
          <w:b/>
        </w:rPr>
        <w:t xml:space="preserve"> </w:t>
      </w:r>
      <w:r w:rsidR="00F00843">
        <w:rPr>
          <w:b/>
        </w:rPr>
        <w:t>Aftale med Kåringssekretariatet</w:t>
      </w:r>
    </w:p>
    <w:p w14:paraId="7C5E6A1D" w14:textId="77777777" w:rsidR="00787EAA" w:rsidRDefault="00D63324" w:rsidP="00F256CF">
      <w:pPr>
        <w:spacing w:after="120" w:line="288" w:lineRule="auto"/>
        <w:ind w:left="357"/>
      </w:pPr>
      <w:r>
        <w:t xml:space="preserve">KRRI sagde, at LBST ser på administrationsgrundlaget for Kåringssekretariatet. Sekretariatet og udvalget yder god bistand til styrelsen, men der er behov for formalisering af sekretariatets arbejde </w:t>
      </w:r>
      <w:r w:rsidR="009B74DB">
        <w:t xml:space="preserve">fremadrettet </w:t>
      </w:r>
      <w:r>
        <w:t>i forhold til tilbuds- og udbudsreglerne.</w:t>
      </w:r>
    </w:p>
    <w:p w14:paraId="4D19E620" w14:textId="77777777" w:rsidR="00636AC2" w:rsidRDefault="00636AC2" w:rsidP="00F256CF">
      <w:pPr>
        <w:spacing w:before="240" w:after="120" w:line="288" w:lineRule="auto"/>
        <w:ind w:left="357"/>
        <w:rPr>
          <w:sz w:val="22"/>
          <w:szCs w:val="22"/>
        </w:rPr>
      </w:pPr>
      <w:r>
        <w:rPr>
          <w:b/>
          <w:sz w:val="22"/>
          <w:szCs w:val="22"/>
        </w:rPr>
        <w:t xml:space="preserve">4. </w:t>
      </w:r>
      <w:r w:rsidR="001C10ED">
        <w:rPr>
          <w:b/>
          <w:sz w:val="22"/>
          <w:szCs w:val="22"/>
        </w:rPr>
        <w:t>Orientering fra Kåringssekretariatet</w:t>
      </w:r>
    </w:p>
    <w:p w14:paraId="759E42BF" w14:textId="77777777" w:rsidR="00E67366" w:rsidRDefault="009B74DB" w:rsidP="00F256CF">
      <w:pPr>
        <w:spacing w:after="120" w:line="288" w:lineRule="auto"/>
        <w:ind w:left="357"/>
      </w:pPr>
      <w:r>
        <w:t>Bruno</w:t>
      </w:r>
      <w:r w:rsidR="007877F2">
        <w:t xml:space="preserve"> Bilde Jørgensen (BBJ) orienterede om kåringsturene og kåringer for 2017. Der er sket 14 anmeldelser, hvilket er et højt niveau. Der er indstillet 12 nye kåringer til LBST fordelt på 6 til vedproduktion, 5 til værn- og </w:t>
      </w:r>
      <w:proofErr w:type="spellStart"/>
      <w:r w:rsidR="007877F2">
        <w:t>læformål</w:t>
      </w:r>
      <w:proofErr w:type="spellEnd"/>
      <w:r w:rsidR="007877F2">
        <w:t xml:space="preserve"> og 1 til klippegrøntproduktion. </w:t>
      </w:r>
      <w:r w:rsidR="00E67366">
        <w:t xml:space="preserve">2 anmeldelser er endnu uafsluttede. </w:t>
      </w:r>
      <w:r w:rsidR="007877F2">
        <w:t xml:space="preserve">Der er nedlagt 5 kåringer efter distriktsønske. </w:t>
      </w:r>
    </w:p>
    <w:p w14:paraId="53739385" w14:textId="77777777" w:rsidR="00F256CF" w:rsidRDefault="00F256CF" w:rsidP="00F256CF">
      <w:pPr>
        <w:spacing w:after="120" w:line="288" w:lineRule="auto"/>
        <w:ind w:left="357"/>
      </w:pPr>
      <w:r>
        <w:t>BBJ sagde at der over de seneste 20 år er sket et fald i anmeldelser og at udviklingen går i retning af frøavlsplantager fremfor frøavlsbevoksninger og en reduktion i eg- og bøgebevoksninger.</w:t>
      </w:r>
    </w:p>
    <w:p w14:paraId="13EF3228" w14:textId="77777777" w:rsidR="00636AC2" w:rsidRDefault="007877F2" w:rsidP="00F256CF">
      <w:pPr>
        <w:spacing w:after="120" w:line="288" w:lineRule="auto"/>
        <w:ind w:left="357"/>
      </w:pPr>
      <w:r>
        <w:t>Kåringsudvalget mødes ekstraordinært i februar for at drøfte principielle kåringskriterier, der ikke er dækket klart af bekendtgørelsen om skovfrø og -planter.</w:t>
      </w:r>
    </w:p>
    <w:p w14:paraId="5A63DE07" w14:textId="77777777" w:rsidR="007877F2" w:rsidRDefault="00E67366" w:rsidP="00F256CF">
      <w:pPr>
        <w:spacing w:after="120" w:line="288" w:lineRule="auto"/>
        <w:ind w:left="357"/>
      </w:pPr>
      <w:r>
        <w:t>Kåringsudvalget blev opfordret til at drøfte anmeldelsestidspunkt og tidspunkt for besigtigelser i forhold til høsttidspunkt og give et bud på behov for kriterier.</w:t>
      </w:r>
      <w:r w:rsidR="00F256CF">
        <w:t xml:space="preserve"> Tidspunkt for kåringsturen er et kompromis mellem kåringer med forskelligt formål.</w:t>
      </w:r>
    </w:p>
    <w:p w14:paraId="4449A6E8" w14:textId="77777777" w:rsidR="00E67366" w:rsidRDefault="00E67366" w:rsidP="00F256CF">
      <w:pPr>
        <w:spacing w:after="120" w:line="288" w:lineRule="auto"/>
        <w:ind w:left="357"/>
      </w:pPr>
      <w:r>
        <w:t>Det er LBST, der træffer afgørelse om kåringer og udsteder kåringsdeklarationer på baggrund af Kåringsudvalgets indstillinger. Når en anmeldelse afvises skal den forvaltningsmæssigt følges af en klagevejledning. LBST ser på de gældende procedurer og muligheden for at sende afgørelserne om kåring,</w:t>
      </w:r>
      <w:r w:rsidRPr="00E67366">
        <w:t xml:space="preserve"> </w:t>
      </w:r>
      <w:r>
        <w:t>kåringsdeklarationerne</w:t>
      </w:r>
      <w:r w:rsidR="000A06A7">
        <w:t xml:space="preserve"> og </w:t>
      </w:r>
      <w:r>
        <w:t>afvisning af kåring</w:t>
      </w:r>
      <w:r w:rsidR="000A06A7">
        <w:t>sanmeldelser</w:t>
      </w:r>
      <w:r>
        <w:t xml:space="preserve"> tidligere.</w:t>
      </w:r>
    </w:p>
    <w:p w14:paraId="5894EF7E" w14:textId="77777777" w:rsidR="003C6F63" w:rsidRDefault="003C6F63" w:rsidP="00F256CF">
      <w:pPr>
        <w:spacing w:after="120" w:line="288" w:lineRule="auto"/>
        <w:ind w:left="357"/>
      </w:pPr>
      <w:r>
        <w:t>I 2018 er kåringsturen fastlagt til 3.-4. september.</w:t>
      </w:r>
    </w:p>
    <w:p w14:paraId="64B48D1D" w14:textId="77777777" w:rsidR="00D10E21" w:rsidRDefault="00D10E21" w:rsidP="00F256CF">
      <w:pPr>
        <w:spacing w:before="240" w:after="120" w:line="288" w:lineRule="auto"/>
        <w:ind w:left="357"/>
        <w:rPr>
          <w:b/>
          <w:sz w:val="22"/>
          <w:szCs w:val="22"/>
        </w:rPr>
      </w:pPr>
      <w:r>
        <w:rPr>
          <w:b/>
          <w:sz w:val="22"/>
          <w:szCs w:val="22"/>
        </w:rPr>
        <w:t xml:space="preserve">5. </w:t>
      </w:r>
      <w:r w:rsidR="001C10ED">
        <w:rPr>
          <w:b/>
          <w:sz w:val="22"/>
          <w:szCs w:val="22"/>
        </w:rPr>
        <w:t>Status på Landbrugsstyrelsens kontrol</w:t>
      </w:r>
    </w:p>
    <w:p w14:paraId="7D96714A" w14:textId="77777777" w:rsidR="00D10E21" w:rsidRDefault="00687CDF" w:rsidP="00F256CF">
      <w:pPr>
        <w:spacing w:after="120" w:line="288" w:lineRule="auto"/>
        <w:ind w:left="357"/>
      </w:pPr>
      <w:r>
        <w:rPr>
          <w:b/>
        </w:rPr>
        <w:t>5.1-5.3</w:t>
      </w:r>
      <w:r w:rsidR="00D10E21">
        <w:rPr>
          <w:b/>
        </w:rPr>
        <w:t xml:space="preserve"> </w:t>
      </w:r>
      <w:r w:rsidR="00F00843">
        <w:rPr>
          <w:b/>
        </w:rPr>
        <w:t>Statistik, kontrol med import, indsamling og omsætning</w:t>
      </w:r>
    </w:p>
    <w:p w14:paraId="0F852955" w14:textId="77777777" w:rsidR="00A5623E" w:rsidRDefault="00F14373" w:rsidP="00A5623E">
      <w:pPr>
        <w:spacing w:after="120" w:line="288" w:lineRule="auto"/>
        <w:ind w:left="357"/>
      </w:pPr>
      <w:r>
        <w:t xml:space="preserve">Bettina Gylden (BEGY) </w:t>
      </w:r>
      <w:r w:rsidR="00A5623E">
        <w:t xml:space="preserve">orienterede om kontrollen for 2017, som er forløbet planmæssigt. 70 virksomheder er registreret og får virksomhedskontrol. Det kan være svært at kontrollere om alle </w:t>
      </w:r>
      <w:r w:rsidR="00A5623E">
        <w:lastRenderedPageBreak/>
        <w:t>relevante virksomheder er registrerede. LBST har ikke hjemmel til at offentliggøre de 70 virksomheder. Det kunne ellers være med til at afdække et eventuelt problem. Der var enighed om, at det er vigtigt, at der følges op på dette.</w:t>
      </w:r>
      <w:r w:rsidR="00A5623E" w:rsidRPr="00A5623E">
        <w:t xml:space="preserve"> </w:t>
      </w:r>
      <w:r w:rsidR="00A5623E">
        <w:t>LBST ser på mulighed for at give hjemmel til offentliggørelse af de registrerede virksomheder. LBST inviterer en kontrollør med næste gang, som kan fortælle om kontroludførelsen.</w:t>
      </w:r>
    </w:p>
    <w:p w14:paraId="028F68B1" w14:textId="77777777" w:rsidR="00D10E21" w:rsidRDefault="00A5623E" w:rsidP="00F256CF">
      <w:pPr>
        <w:spacing w:after="120" w:line="288" w:lineRule="auto"/>
        <w:ind w:left="357"/>
      </w:pPr>
      <w:r>
        <w:t>Statistikker vil blive eftersendt til udvalget og lagt på styrelsens hjemmeside snarest muligt.</w:t>
      </w:r>
    </w:p>
    <w:p w14:paraId="52AFF45D" w14:textId="77777777" w:rsidR="00F00843" w:rsidRPr="00DA0B79" w:rsidRDefault="00687CDF" w:rsidP="00F256CF">
      <w:pPr>
        <w:spacing w:after="120" w:line="288" w:lineRule="auto"/>
        <w:ind w:left="357"/>
        <w:rPr>
          <w:b/>
        </w:rPr>
      </w:pPr>
      <w:r>
        <w:rPr>
          <w:b/>
        </w:rPr>
        <w:t>5.4</w:t>
      </w:r>
      <w:r w:rsidR="00F00843" w:rsidRPr="00DA0B79">
        <w:rPr>
          <w:b/>
        </w:rPr>
        <w:t xml:space="preserve"> </w:t>
      </w:r>
      <w:r w:rsidR="00F00843">
        <w:rPr>
          <w:b/>
        </w:rPr>
        <w:t>Aftale baseret ordning</w:t>
      </w:r>
    </w:p>
    <w:p w14:paraId="433E781E" w14:textId="77777777" w:rsidR="00F00843" w:rsidRDefault="00351DBD" w:rsidP="00F256CF">
      <w:pPr>
        <w:spacing w:after="120" w:line="288" w:lineRule="auto"/>
        <w:ind w:left="357"/>
      </w:pPr>
      <w:r>
        <w:t>MEB sagde, at notatet og blanketter til den aftalebaserede ordning trænger til revision, så styrelsens navn, hjemler og mailadresser er korrekte. Den bliver snarest muligt lagt på styrelsens hjemmeside. Der var tilfredshed med ordningen, som fungerer godt.</w:t>
      </w:r>
    </w:p>
    <w:p w14:paraId="4E92E9B2" w14:textId="77777777" w:rsidR="00D10E21" w:rsidRPr="00DA0B79" w:rsidRDefault="00687CDF" w:rsidP="00F256CF">
      <w:pPr>
        <w:spacing w:after="120" w:line="288" w:lineRule="auto"/>
        <w:ind w:left="357"/>
        <w:rPr>
          <w:b/>
        </w:rPr>
      </w:pPr>
      <w:r>
        <w:rPr>
          <w:b/>
        </w:rPr>
        <w:t>5.4</w:t>
      </w:r>
      <w:r w:rsidR="00DA0B79" w:rsidRPr="00DA0B79">
        <w:rPr>
          <w:b/>
        </w:rPr>
        <w:t xml:space="preserve"> </w:t>
      </w:r>
      <w:r w:rsidR="00F00843">
        <w:rPr>
          <w:b/>
        </w:rPr>
        <w:t>Økonomi</w:t>
      </w:r>
    </w:p>
    <w:p w14:paraId="751C207C" w14:textId="507813EB" w:rsidR="00162CDA" w:rsidRDefault="001C73D7" w:rsidP="00F256CF">
      <w:pPr>
        <w:spacing w:after="120" w:line="288" w:lineRule="auto"/>
        <w:ind w:left="357"/>
      </w:pPr>
      <w:r>
        <w:t xml:space="preserve">Grundet årsafslutning, så var det ikke muligt at fremlægge resultatet for 2017. Dette punkt vil blive behandlet på næste møde eller fremsendt inden, kunne </w:t>
      </w:r>
      <w:r w:rsidR="00351DBD">
        <w:t>KRRI oplyse</w:t>
      </w:r>
      <w:r>
        <w:t>.</w:t>
      </w:r>
    </w:p>
    <w:p w14:paraId="5317388C" w14:textId="77777777" w:rsidR="00F00843" w:rsidRDefault="00F00843" w:rsidP="00F256CF">
      <w:pPr>
        <w:spacing w:before="240" w:after="120" w:line="288" w:lineRule="auto"/>
        <w:ind w:left="357"/>
        <w:rPr>
          <w:sz w:val="22"/>
          <w:szCs w:val="22"/>
        </w:rPr>
      </w:pPr>
      <w:r>
        <w:rPr>
          <w:b/>
          <w:sz w:val="22"/>
          <w:szCs w:val="22"/>
        </w:rPr>
        <w:t>6. Diskussionspunkter</w:t>
      </w:r>
    </w:p>
    <w:p w14:paraId="3CE1244F" w14:textId="77777777" w:rsidR="00F00843" w:rsidRPr="00F00843" w:rsidRDefault="00F00843" w:rsidP="00F256CF">
      <w:pPr>
        <w:pStyle w:val="Opstilling-talellerbogst"/>
        <w:numPr>
          <w:ilvl w:val="0"/>
          <w:numId w:val="0"/>
        </w:numPr>
        <w:spacing w:after="120" w:line="288" w:lineRule="auto"/>
        <w:ind w:left="360"/>
        <w:rPr>
          <w:b/>
        </w:rPr>
      </w:pPr>
      <w:r>
        <w:rPr>
          <w:b/>
        </w:rPr>
        <w:t xml:space="preserve">6.1. </w:t>
      </w:r>
      <w:r w:rsidRPr="00F00843">
        <w:rPr>
          <w:b/>
        </w:rPr>
        <w:t>Krav til hybridprocent for frø af hybridlærk, fortsat fra seneste møde</w:t>
      </w:r>
    </w:p>
    <w:p w14:paraId="243AAF30" w14:textId="77777777" w:rsidR="007D1CA8" w:rsidRDefault="007D1CA8" w:rsidP="00F256CF">
      <w:pPr>
        <w:spacing w:after="120" w:line="288" w:lineRule="auto"/>
        <w:ind w:left="357"/>
      </w:pPr>
      <w:r>
        <w:t xml:space="preserve">EDK oplyste om baggrunden for punktet. Det er primært dansk hybridlærk der handles i Danmark. De fleste år opnås en hybridprocent på 60 og derover, men enkelte år er det ikke muligt. </w:t>
      </w:r>
      <w:r w:rsidR="00334038">
        <w:t>Det er en vigtig handelsparameter også ved handel til andre lande, derfor er en form for autoriseret system vigtigt.</w:t>
      </w:r>
    </w:p>
    <w:p w14:paraId="7A5F78A9" w14:textId="77777777" w:rsidR="00F00843" w:rsidRDefault="007D1CA8" w:rsidP="00F256CF">
      <w:pPr>
        <w:spacing w:after="120" w:line="288" w:lineRule="auto"/>
        <w:ind w:left="357"/>
      </w:pPr>
      <w:r>
        <w:t>Efter en drøftelse indstillede udvalget, at LBST går videre med en revision af bekendtgørelsen om skovfrø og –planter, så der indsættes en dansk norm for hybridprocent i hybridlærk på 60 % med mulighed for dispensation i år med særlige udfordringer. Dertil skal der være pligt til at oplyse hybridprocenten ved handel.</w:t>
      </w:r>
      <w:r w:rsidR="00334038">
        <w:t xml:space="preserve"> Testmetoden skal beskrives i et bilag. LBST skal foretage dokumentkontrol af om analysen er sket og har vist, at normen er overholdt.</w:t>
      </w:r>
    </w:p>
    <w:p w14:paraId="3BA4DC63" w14:textId="77777777" w:rsidR="00334038" w:rsidRDefault="00334038" w:rsidP="00F256CF">
      <w:pPr>
        <w:spacing w:after="120" w:line="288" w:lineRule="auto"/>
        <w:ind w:left="357"/>
      </w:pPr>
      <w:r>
        <w:t xml:space="preserve">LBST gjorde opmærksom på, at der kræves et stærkt ønske fra erhvervet, når der skal indføres strengere danske normer. Der bliver behov for data og </w:t>
      </w:r>
      <w:r w:rsidR="00D63B56">
        <w:t>anden information som støtte for en bekendtgørelsesændring. LBST vender tilbage, når det bliver aktuelt. Ændringen kan tidligst ske pr. 1. januar 2019.</w:t>
      </w:r>
    </w:p>
    <w:p w14:paraId="3EA79882" w14:textId="77777777" w:rsidR="00F00843" w:rsidRPr="00F00843" w:rsidRDefault="00F00843" w:rsidP="00F256CF">
      <w:pPr>
        <w:pStyle w:val="Opstilling-talellerbogst"/>
        <w:numPr>
          <w:ilvl w:val="0"/>
          <w:numId w:val="0"/>
        </w:numPr>
        <w:spacing w:after="120" w:line="288" w:lineRule="auto"/>
        <w:ind w:left="360"/>
        <w:rPr>
          <w:b/>
        </w:rPr>
      </w:pPr>
      <w:r>
        <w:rPr>
          <w:b/>
        </w:rPr>
        <w:t xml:space="preserve">6.2. </w:t>
      </w:r>
      <w:r w:rsidRPr="00F00843">
        <w:rPr>
          <w:rFonts w:cs="Arial"/>
          <w:b/>
          <w:color w:val="000000"/>
        </w:rPr>
        <w:t>Orientering om kampen mod invasive arter og den fremtidige koordinering med udvalgets arbejde</w:t>
      </w:r>
    </w:p>
    <w:p w14:paraId="3E928533" w14:textId="77777777" w:rsidR="00F00843" w:rsidRDefault="00F14373" w:rsidP="00F256CF">
      <w:pPr>
        <w:spacing w:after="120" w:line="288" w:lineRule="auto"/>
        <w:ind w:left="357"/>
      </w:pPr>
      <w:r>
        <w:t>Helen Nyegaard Hvid (HNH) fra Miljøstyrelsen (MST) fortalte om arbejdet med invasive arter. MST har udgivet en revideret handlingsplan for invasive arter på MST hjemmeside sammen med en liste over ikke-hjemmehørende arter i Danmark. Arterne er vurderet ud fra, hvor invasive de</w:t>
      </w:r>
      <w:r w:rsidR="00C976BA">
        <w:t xml:space="preserve"> vurderes at være i Danmark</w:t>
      </w:r>
      <w:r>
        <w:t xml:space="preserve">. Nye arter kan tilføjes. </w:t>
      </w:r>
    </w:p>
    <w:p w14:paraId="160CC46E" w14:textId="4C751824" w:rsidR="008B3D4C" w:rsidRDefault="00DA09FE" w:rsidP="00F256CF">
      <w:pPr>
        <w:spacing w:after="120" w:line="288" w:lineRule="auto"/>
        <w:ind w:left="357"/>
      </w:pPr>
      <w:r>
        <w:t xml:space="preserve">En række arter er reguleret </w:t>
      </w:r>
      <w:r w:rsidR="008B3D4C">
        <w:t xml:space="preserve">i en </w:t>
      </w:r>
      <w:r>
        <w:t>EU</w:t>
      </w:r>
      <w:r w:rsidR="008B3D4C">
        <w:t>-</w:t>
      </w:r>
      <w:r>
        <w:t>forordning fra 2014</w:t>
      </w:r>
      <w:r w:rsidR="008B3D4C">
        <w:t>, da de vurderes at være så invasive i EU, at det kræver en fællesskabshandling</w:t>
      </w:r>
      <w:r>
        <w:t xml:space="preserve">. </w:t>
      </w:r>
      <w:r w:rsidR="008B3D4C">
        <w:t xml:space="preserve">Der er enighed om indtil videre at regulere 49 arter i EU. </w:t>
      </w:r>
      <w:r w:rsidR="00B76FCC">
        <w:t>Al handel, hold, brug og import af disse arter er forbudt. Der er toldkontrol på dem ved grænserne fra 3.-lande</w:t>
      </w:r>
      <w:r w:rsidR="008B3309">
        <w:t xml:space="preserve">. Forordningen giver ikke mange muligheder for at sælge i en overgangsperiode, men der er nogle enkelte overgangsbestemmelser. </w:t>
      </w:r>
      <w:r w:rsidR="00350DD2">
        <w:t xml:space="preserve">En ny kandidat til listen er </w:t>
      </w:r>
      <w:proofErr w:type="spellStart"/>
      <w:r w:rsidR="00350DD2">
        <w:rPr>
          <w:i/>
        </w:rPr>
        <w:t>A</w:t>
      </w:r>
      <w:r w:rsidR="002B73AA">
        <w:rPr>
          <w:i/>
        </w:rPr>
        <w:t>i</w:t>
      </w:r>
      <w:r w:rsidR="00350DD2">
        <w:rPr>
          <w:i/>
        </w:rPr>
        <w:t>lanthus</w:t>
      </w:r>
      <w:proofErr w:type="spellEnd"/>
      <w:r w:rsidR="00350DD2">
        <w:rPr>
          <w:i/>
        </w:rPr>
        <w:t xml:space="preserve"> </w:t>
      </w:r>
      <w:proofErr w:type="spellStart"/>
      <w:r w:rsidR="00350DD2">
        <w:rPr>
          <w:i/>
        </w:rPr>
        <w:t>altissima</w:t>
      </w:r>
      <w:proofErr w:type="spellEnd"/>
      <w:r w:rsidR="00350DD2">
        <w:t>, som er et problem i andre EU lande.</w:t>
      </w:r>
    </w:p>
    <w:p w14:paraId="02D86DB5" w14:textId="077BB4C1" w:rsidR="008B3309" w:rsidRDefault="008B3D4C" w:rsidP="00F256CF">
      <w:pPr>
        <w:spacing w:after="120" w:line="288" w:lineRule="auto"/>
        <w:ind w:left="357"/>
      </w:pPr>
      <w:r>
        <w:lastRenderedPageBreak/>
        <w:t xml:space="preserve">Og der er desuden national regulering på </w:t>
      </w:r>
      <w:r w:rsidR="00B76FCC">
        <w:t xml:space="preserve">vej for </w:t>
      </w:r>
      <w:r w:rsidR="0046596F">
        <w:t xml:space="preserve">12 </w:t>
      </w:r>
      <w:r w:rsidR="00B76FCC">
        <w:t xml:space="preserve">arter, der ikke er EU-reguleret, men som </w:t>
      </w:r>
      <w:r w:rsidR="00350DD2">
        <w:t xml:space="preserve">er </w:t>
      </w:r>
      <w:r w:rsidR="00B76FCC">
        <w:t xml:space="preserve">uønskede i Danmark. </w:t>
      </w:r>
      <w:r w:rsidR="00B76FCC" w:rsidRPr="00350DD2">
        <w:t>Der</w:t>
      </w:r>
      <w:r w:rsidR="00B76FCC">
        <w:t xml:space="preserve"> er oprettet hjemmel til dette i Naturbeskyttelsesloven</w:t>
      </w:r>
      <w:r w:rsidR="00387E0C">
        <w:t xml:space="preserve">. Arterne, som ønskes reguleret, er præsenteret i handlingsplanen. </w:t>
      </w:r>
      <w:r w:rsidR="00350DD2">
        <w:t xml:space="preserve">Arter, som især interesserer branchen er </w:t>
      </w:r>
      <w:r w:rsidR="00350DD2">
        <w:rPr>
          <w:i/>
        </w:rPr>
        <w:t xml:space="preserve">Rosa </w:t>
      </w:r>
      <w:proofErr w:type="spellStart"/>
      <w:r w:rsidR="00350DD2">
        <w:rPr>
          <w:i/>
        </w:rPr>
        <w:t>rugosa</w:t>
      </w:r>
      <w:proofErr w:type="spellEnd"/>
      <w:r w:rsidR="00350DD2">
        <w:rPr>
          <w:i/>
        </w:rPr>
        <w:t xml:space="preserve"> </w:t>
      </w:r>
      <w:r w:rsidR="00350DD2">
        <w:t xml:space="preserve">og </w:t>
      </w:r>
      <w:proofErr w:type="spellStart"/>
      <w:r w:rsidR="00350DD2">
        <w:rPr>
          <w:i/>
        </w:rPr>
        <w:t>Prunus</w:t>
      </w:r>
      <w:proofErr w:type="spellEnd"/>
      <w:r w:rsidR="00350DD2">
        <w:rPr>
          <w:i/>
        </w:rPr>
        <w:t xml:space="preserve"> </w:t>
      </w:r>
      <w:proofErr w:type="spellStart"/>
      <w:r w:rsidR="002B73AA">
        <w:rPr>
          <w:i/>
        </w:rPr>
        <w:t>s</w:t>
      </w:r>
      <w:r w:rsidR="00350DD2" w:rsidRPr="00350DD2">
        <w:rPr>
          <w:i/>
        </w:rPr>
        <w:t>erotino</w:t>
      </w:r>
      <w:proofErr w:type="spellEnd"/>
      <w:r w:rsidR="00350DD2">
        <w:t xml:space="preserve">, som begge er kandidater til listen. </w:t>
      </w:r>
      <w:r w:rsidR="00387E0C">
        <w:t>Den nationale regulering forventes at træde i kr</w:t>
      </w:r>
      <w:r w:rsidR="00350DD2">
        <w:t>aft medio 2019</w:t>
      </w:r>
      <w:r w:rsidR="00387E0C">
        <w:t>.</w:t>
      </w:r>
      <w:r w:rsidR="008B3309">
        <w:t xml:space="preserve"> Der skal drøftes overgangsordning</w:t>
      </w:r>
      <w:r w:rsidR="00350DD2">
        <w:t>er</w:t>
      </w:r>
      <w:r w:rsidR="008B3309">
        <w:t xml:space="preserve"> med den rådgivende gruppe for invasive arter, hvor Bjarne Pugholm er med</w:t>
      </w:r>
      <w:r w:rsidR="00A8655B">
        <w:t>lem</w:t>
      </w:r>
      <w:r w:rsidR="008B3309">
        <w:t>.</w:t>
      </w:r>
    </w:p>
    <w:p w14:paraId="43F55FA4" w14:textId="77777777" w:rsidR="00F00843" w:rsidRPr="00F00843" w:rsidRDefault="00F00843" w:rsidP="00F256CF">
      <w:pPr>
        <w:pStyle w:val="Opstilling-talellerbogst"/>
        <w:numPr>
          <w:ilvl w:val="0"/>
          <w:numId w:val="0"/>
        </w:numPr>
        <w:spacing w:after="120" w:line="288" w:lineRule="auto"/>
        <w:ind w:left="360"/>
        <w:rPr>
          <w:b/>
        </w:rPr>
      </w:pPr>
      <w:r w:rsidRPr="00F00843">
        <w:rPr>
          <w:b/>
        </w:rPr>
        <w:t xml:space="preserve">6.3 </w:t>
      </w:r>
      <w:r w:rsidRPr="00F00843">
        <w:rPr>
          <w:rFonts w:cs="Arial"/>
          <w:b/>
          <w:color w:val="000000"/>
        </w:rPr>
        <w:t>Geografisk angivelse af kårede bevoksninger (LBST) fra sidste års referat pkt. 7c</w:t>
      </w:r>
    </w:p>
    <w:p w14:paraId="3762FAD6" w14:textId="77777777" w:rsidR="00F00843" w:rsidRDefault="008141D2" w:rsidP="00F256CF">
      <w:pPr>
        <w:spacing w:after="120" w:line="288" w:lineRule="auto"/>
        <w:ind w:left="357"/>
      </w:pPr>
      <w:r>
        <w:t xml:space="preserve">BBJ sagde at det optimale er, hvis man kan angive </w:t>
      </w:r>
      <w:proofErr w:type="spellStart"/>
      <w:r>
        <w:t>polygonet</w:t>
      </w:r>
      <w:proofErr w:type="spellEnd"/>
      <w:r>
        <w:t xml:space="preserve"> for det enkelte areal. De forskellige systemer kan konverteres til hinanden. Gunnar Friis </w:t>
      </w:r>
      <w:proofErr w:type="spellStart"/>
      <w:r>
        <w:t>Proschowsky</w:t>
      </w:r>
      <w:proofErr w:type="spellEnd"/>
      <w:r>
        <w:t xml:space="preserve"> (GFP) sagde, at alle bevoksninger er plottet ind på plantevalg.dk.</w:t>
      </w:r>
    </w:p>
    <w:p w14:paraId="6B3DAF91" w14:textId="77777777" w:rsidR="008141D2" w:rsidRDefault="008141D2" w:rsidP="00F256CF">
      <w:pPr>
        <w:spacing w:after="120" w:line="288" w:lineRule="auto"/>
        <w:ind w:left="357"/>
      </w:pPr>
      <w:r>
        <w:t xml:space="preserve">Det blev aftalt, at LBST ændrer anmeldelsesskemaet, så anmelder skal angive koordinater for anmeldelsen. For eksisterende </w:t>
      </w:r>
      <w:r w:rsidR="00A42C55">
        <w:t xml:space="preserve">ca. 270 </w:t>
      </w:r>
      <w:r>
        <w:t xml:space="preserve">kåringer </w:t>
      </w:r>
      <w:proofErr w:type="spellStart"/>
      <w:r>
        <w:t>checker</w:t>
      </w:r>
      <w:proofErr w:type="spellEnd"/>
      <w:r>
        <w:t xml:space="preserve"> LBST med</w:t>
      </w:r>
      <w:r w:rsidR="00AB4B2A">
        <w:t xml:space="preserve"> Helle Strømsteds data,</w:t>
      </w:r>
      <w:r>
        <w:t xml:space="preserve"> plantevalg.dk og frøkildeejerne. Efterfølgende sendes data til KOM, så danske kåringer kommer med på </w:t>
      </w:r>
      <w:proofErr w:type="spellStart"/>
      <w:r>
        <w:t>KOM’s</w:t>
      </w:r>
      <w:proofErr w:type="spellEnd"/>
      <w:r>
        <w:t xml:space="preserve"> oversigt.</w:t>
      </w:r>
    </w:p>
    <w:p w14:paraId="388546FC" w14:textId="77777777" w:rsidR="00F00843" w:rsidRPr="00F00843" w:rsidRDefault="00F00843" w:rsidP="00F256CF">
      <w:pPr>
        <w:spacing w:after="120" w:line="288" w:lineRule="auto"/>
        <w:ind w:left="357"/>
        <w:rPr>
          <w:b/>
        </w:rPr>
      </w:pPr>
      <w:r>
        <w:rPr>
          <w:b/>
        </w:rPr>
        <w:t xml:space="preserve">6.4 </w:t>
      </w:r>
      <w:r w:rsidRPr="00F00843">
        <w:rPr>
          <w:rFonts w:cs="Arial"/>
          <w:b/>
          <w:color w:val="000000"/>
        </w:rPr>
        <w:t>Skovstrategi</w:t>
      </w:r>
    </w:p>
    <w:p w14:paraId="6C010E61" w14:textId="77777777" w:rsidR="00F00843" w:rsidRDefault="008141D2" w:rsidP="00F256CF">
      <w:pPr>
        <w:spacing w:after="120" w:line="288" w:lineRule="auto"/>
        <w:ind w:left="357"/>
      </w:pPr>
      <w:r>
        <w:t>PK fortalte, at skovstrategien er kommet lidt nærmere. Ministeren har godkendt den, men godkendelse ved Regeringens Økonomiudvalg udestår.</w:t>
      </w:r>
    </w:p>
    <w:p w14:paraId="7F91A176" w14:textId="77777777" w:rsidR="00F00843" w:rsidRDefault="00F00843" w:rsidP="00F256CF">
      <w:pPr>
        <w:spacing w:before="240" w:after="120" w:line="288" w:lineRule="auto"/>
        <w:ind w:left="357"/>
        <w:rPr>
          <w:sz w:val="22"/>
          <w:szCs w:val="22"/>
        </w:rPr>
      </w:pPr>
      <w:r>
        <w:rPr>
          <w:b/>
          <w:sz w:val="22"/>
          <w:szCs w:val="22"/>
        </w:rPr>
        <w:t>7. Introduktion til dagens ekskursion</w:t>
      </w:r>
    </w:p>
    <w:p w14:paraId="10EC2062" w14:textId="77777777" w:rsidR="00F00843" w:rsidRDefault="00A42C55" w:rsidP="00F256CF">
      <w:pPr>
        <w:spacing w:after="120" w:line="288" w:lineRule="auto"/>
        <w:ind w:left="357"/>
      </w:pPr>
      <w:r>
        <w:t>GFP gav en kort introduktion til dagens ekskursion, som gik til frøavlsbevoksning F.808, ’Ny Saltbjerg’ i Gråsten skovdistrikt. Bevoksningen er særligt egnet til juletræsproduktion.</w:t>
      </w:r>
      <w:r w:rsidR="00AB4B2A">
        <w:t xml:space="preserve"> Frøet stammer fra </w:t>
      </w:r>
      <w:proofErr w:type="spellStart"/>
      <w:r w:rsidR="00AB4B2A">
        <w:t>Ambrolauri</w:t>
      </w:r>
      <w:proofErr w:type="spellEnd"/>
      <w:r w:rsidR="00AB4B2A">
        <w:t xml:space="preserve"> i Georgien.</w:t>
      </w:r>
    </w:p>
    <w:p w14:paraId="4DA31476" w14:textId="77777777" w:rsidR="00F00843" w:rsidRDefault="00F00843" w:rsidP="00F256CF">
      <w:pPr>
        <w:spacing w:before="240" w:after="120" w:line="288" w:lineRule="auto"/>
        <w:ind w:left="357"/>
        <w:rPr>
          <w:sz w:val="22"/>
          <w:szCs w:val="22"/>
        </w:rPr>
      </w:pPr>
      <w:r>
        <w:rPr>
          <w:b/>
          <w:sz w:val="22"/>
          <w:szCs w:val="22"/>
        </w:rPr>
        <w:t>8. Eventuelt</w:t>
      </w:r>
    </w:p>
    <w:p w14:paraId="43D3B236" w14:textId="13A4F487" w:rsidR="005E2184" w:rsidRDefault="005E2184" w:rsidP="00F256CF">
      <w:pPr>
        <w:spacing w:after="120" w:line="288" w:lineRule="auto"/>
        <w:ind w:left="357"/>
      </w:pPr>
      <w:r>
        <w:t xml:space="preserve">Der blev drøftet nye teknologiske muligheder, og KRRI nævnte de to store EU landbrugssatellitter, der vist nok er frit tilgængelige. De hedder </w:t>
      </w:r>
      <w:proofErr w:type="spellStart"/>
      <w:r>
        <w:t>Sentinel</w:t>
      </w:r>
      <w:proofErr w:type="spellEnd"/>
      <w:r>
        <w:t xml:space="preserve"> 1 og </w:t>
      </w:r>
      <w:proofErr w:type="spellStart"/>
      <w:r>
        <w:t>Sentinel</w:t>
      </w:r>
      <w:proofErr w:type="spellEnd"/>
      <w:r>
        <w:t xml:space="preserve"> 2</w:t>
      </w:r>
      <w:r w:rsidR="00C82E6F">
        <w:t>,</w:t>
      </w:r>
      <w:r>
        <w:t xml:space="preserve"> fx</w:t>
      </w:r>
      <w:r w:rsidRPr="005E2184">
        <w:t xml:space="preserve"> </w:t>
      </w:r>
      <w:hyperlink r:id="rId8" w:history="1">
        <w:r w:rsidRPr="002668E5">
          <w:rPr>
            <w:rStyle w:val="Hyperlink"/>
          </w:rPr>
          <w:t>http://www.esa-sen2agri.org/</w:t>
        </w:r>
      </w:hyperlink>
      <w:r w:rsidR="00C82E6F">
        <w:t xml:space="preserve">. </w:t>
      </w:r>
      <w:r>
        <w:t xml:space="preserve">Området er i rivende udvikling, men det ser pt ud som om, at satellitterne ikke kan komme tæt nok på afgrøde og træer til at foretage de vurderinger, som udvalget kunne finde interessant. Udviklingen følges.   </w:t>
      </w:r>
    </w:p>
    <w:p w14:paraId="2B689A09" w14:textId="77777777" w:rsidR="00A42C55" w:rsidRDefault="00A42C55" w:rsidP="00F256CF">
      <w:pPr>
        <w:spacing w:after="120" w:line="288" w:lineRule="auto"/>
        <w:ind w:left="357"/>
      </w:pPr>
      <w:r>
        <w:t xml:space="preserve">Ulrik </w:t>
      </w:r>
      <w:proofErr w:type="spellStart"/>
      <w:r>
        <w:t>Nyvold</w:t>
      </w:r>
      <w:proofErr w:type="spellEnd"/>
      <w:r>
        <w:t xml:space="preserve"> (UN) gjorde opmærksom på, at ved meget små høstår</w:t>
      </w:r>
      <w:r w:rsidR="00BA519F">
        <w:t xml:space="preserve"> (lavt høstudbytte)</w:t>
      </w:r>
      <w:r>
        <w:t xml:space="preserve"> i stilkeg, bliver gebyret for herkomstcertifikatet så højt i forhold til høstens værdi, at det ikke kan betale sig at høste frøet. Morten Krogh (MK) sagde, at der er tilsvarende problemer med birk, </w:t>
      </w:r>
      <w:r w:rsidR="00FB7D74">
        <w:t>hvor svaret har været nej til et reduceret gebyr.</w:t>
      </w:r>
      <w:r w:rsidR="00BA519F">
        <w:t xml:space="preserve"> I normale år og for andre arter er certifikatprisen ikke afgørende.</w:t>
      </w:r>
    </w:p>
    <w:p w14:paraId="66EA0BA2" w14:textId="77777777" w:rsidR="00A42C55" w:rsidRDefault="00FB7D74" w:rsidP="00F256CF">
      <w:pPr>
        <w:spacing w:after="120" w:line="288" w:lineRule="auto"/>
        <w:ind w:left="357"/>
      </w:pPr>
      <w:r>
        <w:t>KRRI orienterede om, at Miljø- og Fødevareministeriet (MFVM) ser på hele ministeriets gebyrstruktur. Samtidig kører arbejdet med lovprogram og implementering af de to forordninger under pkt. 3.1. Der kan i det lys komme ændringer, der skal skabe en større gennemsigtighed i gebyrstrukturen. Vi har en ramme, som vi arbejder indenfor</w:t>
      </w:r>
      <w:r w:rsidR="00D1233F">
        <w:t xml:space="preserve"> med balance over 4 år</w:t>
      </w:r>
      <w:r w:rsidR="00BA519F">
        <w:t>, og arbejdet kompliceres af, at Planteenheden har mange små ordninger, hvor der også er ønske om øget digitalisering. Ovenstående problemstilling vil indgå i de videre overvejelser.</w:t>
      </w:r>
    </w:p>
    <w:p w14:paraId="3BCD20D1" w14:textId="13FE7A21" w:rsidR="00A42C55" w:rsidRPr="00A42C55" w:rsidRDefault="00A42C55" w:rsidP="00F256CF">
      <w:pPr>
        <w:spacing w:after="120" w:line="288" w:lineRule="auto"/>
        <w:ind w:left="357"/>
      </w:pPr>
      <w:r w:rsidRPr="00A42C55">
        <w:t xml:space="preserve">Næste møde i udvalget er fastlagt til torsdag den 1. </w:t>
      </w:r>
      <w:r w:rsidR="00731109">
        <w:t xml:space="preserve">november </w:t>
      </w:r>
      <w:r w:rsidRPr="00A42C55">
        <w:t xml:space="preserve">2018, kl. 10-14 </w:t>
      </w:r>
      <w:r w:rsidR="00731109">
        <w:t>ved</w:t>
      </w:r>
      <w:r w:rsidR="00C82E6F">
        <w:t xml:space="preserve"> Sorø</w:t>
      </w:r>
      <w:r w:rsidR="00731109">
        <w:t xml:space="preserve"> Akademi</w:t>
      </w:r>
      <w:bookmarkStart w:id="0" w:name="_GoBack"/>
      <w:bookmarkEnd w:id="0"/>
      <w:r w:rsidR="00BA519F">
        <w:t xml:space="preserve"> </w:t>
      </w:r>
      <w:r w:rsidRPr="00A42C55">
        <w:t>med efterfølgende ekskursion.</w:t>
      </w:r>
    </w:p>
    <w:p w14:paraId="4770B908" w14:textId="77777777" w:rsidR="00A42C55" w:rsidRDefault="00A42C55">
      <w:pPr>
        <w:spacing w:after="120" w:line="288" w:lineRule="auto"/>
        <w:ind w:left="357"/>
      </w:pPr>
    </w:p>
    <w:sectPr w:rsidR="00A42C55" w:rsidSect="00BA4AB4">
      <w:headerReference w:type="even" r:id="rId9"/>
      <w:headerReference w:type="default" r:id="rId10"/>
      <w:footerReference w:type="even" r:id="rId11"/>
      <w:footerReference w:type="default" r:id="rId12"/>
      <w:headerReference w:type="first" r:id="rId13"/>
      <w:footerReference w:type="first" r:id="rId14"/>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849A" w14:textId="77777777" w:rsidR="00C8511C" w:rsidRDefault="00C8511C">
      <w:r>
        <w:separator/>
      </w:r>
    </w:p>
  </w:endnote>
  <w:endnote w:type="continuationSeparator" w:id="0">
    <w:p w14:paraId="295A1341" w14:textId="77777777" w:rsidR="00C8511C" w:rsidRDefault="00C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67FE"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50297">
      <w:rPr>
        <w:rStyle w:val="Sidetal"/>
        <w:noProof/>
      </w:rPr>
      <w:t>1</w:t>
    </w:r>
    <w:r>
      <w:rPr>
        <w:rStyle w:val="Sidetal"/>
      </w:rPr>
      <w:fldChar w:fldCharType="end"/>
    </w:r>
  </w:p>
  <w:p w14:paraId="1EDB684C" w14:textId="77777777"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8D86" w14:textId="77777777"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731109">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C841" w14:textId="77777777" w:rsidR="00FE03FE" w:rsidRPr="00950297" w:rsidRDefault="00950297" w:rsidP="00CF614F">
    <w:pPr>
      <w:pStyle w:val="Template-Address"/>
    </w:pPr>
    <w:bookmarkStart w:id="22" w:name="OFF_Institution"/>
    <w:bookmarkStart w:id="23" w:name="OFF_InstitutionHIF"/>
    <w:bookmarkStart w:id="24" w:name="XIF_MMFirstAddressLine"/>
    <w:bookmarkStart w:id="25" w:name="CNT_FooterFirst"/>
    <w:r w:rsidRPr="00950297">
      <w:t>Landbrugsstyrelsen</w:t>
    </w:r>
    <w:bookmarkEnd w:id="22"/>
    <w:r w:rsidR="00FE03FE" w:rsidRPr="00950297">
      <w:t xml:space="preserve"> </w:t>
    </w:r>
    <w:bookmarkEnd w:id="23"/>
    <w:r w:rsidR="00FE03FE" w:rsidRPr="00950297">
      <w:t xml:space="preserve">• </w:t>
    </w:r>
    <w:bookmarkStart w:id="26" w:name="OFF_AddressA"/>
    <w:bookmarkStart w:id="27" w:name="OFF_AddressAHIF"/>
    <w:r w:rsidRPr="00950297">
      <w:t>Nyropsgade 30</w:t>
    </w:r>
    <w:bookmarkEnd w:id="26"/>
    <w:r w:rsidR="00FE03FE" w:rsidRPr="00950297">
      <w:t xml:space="preserve"> </w:t>
    </w:r>
    <w:bookmarkEnd w:id="27"/>
    <w:r w:rsidR="00FE03FE" w:rsidRPr="00950297">
      <w:rPr>
        <w:vanish/>
      </w:rPr>
      <w:t xml:space="preserve">• </w:t>
    </w:r>
    <w:bookmarkStart w:id="28" w:name="OFF_AddressB"/>
    <w:bookmarkStart w:id="29" w:name="OFF_AddressBHIF"/>
    <w:bookmarkEnd w:id="28"/>
    <w:r w:rsidR="00FE03FE" w:rsidRPr="00950297">
      <w:rPr>
        <w:vanish/>
      </w:rPr>
      <w:t xml:space="preserve"> </w:t>
    </w:r>
    <w:bookmarkEnd w:id="29"/>
    <w:r w:rsidR="00FE03FE" w:rsidRPr="00950297">
      <w:rPr>
        <w:vanish/>
      </w:rPr>
      <w:t xml:space="preserve">• </w:t>
    </w:r>
    <w:bookmarkStart w:id="30" w:name="OFF_AddressC"/>
    <w:bookmarkStart w:id="31" w:name="OFF_AddressCHIF"/>
    <w:bookmarkEnd w:id="30"/>
    <w:r w:rsidR="00FE03FE" w:rsidRPr="00950297">
      <w:rPr>
        <w:vanish/>
      </w:rPr>
      <w:t xml:space="preserve"> </w:t>
    </w:r>
    <w:bookmarkEnd w:id="31"/>
    <w:r w:rsidR="00FE03FE" w:rsidRPr="00950297">
      <w:t xml:space="preserve">• </w:t>
    </w:r>
    <w:bookmarkStart w:id="32" w:name="OFF_AddressD"/>
    <w:bookmarkStart w:id="33" w:name="OFF_AddressDHIF"/>
    <w:r w:rsidRPr="00950297">
      <w:t>1780</w:t>
    </w:r>
    <w:bookmarkEnd w:id="32"/>
    <w:r w:rsidR="00FE03FE" w:rsidRPr="00950297">
      <w:t xml:space="preserve"> </w:t>
    </w:r>
    <w:bookmarkStart w:id="34" w:name="OFF_City"/>
    <w:r>
      <w:t>København V</w:t>
    </w:r>
    <w:bookmarkEnd w:id="34"/>
    <w:r w:rsidR="00FE03FE" w:rsidRPr="00950297">
      <w:t xml:space="preserve"> </w:t>
    </w:r>
    <w:bookmarkEnd w:id="33"/>
  </w:p>
  <w:p w14:paraId="27D63CD5" w14:textId="77777777" w:rsidR="00FE03FE" w:rsidRPr="008141D2" w:rsidRDefault="00950297" w:rsidP="00CF614F">
    <w:pPr>
      <w:pStyle w:val="Template-Address"/>
    </w:pPr>
    <w:bookmarkStart w:id="35" w:name="LAN_Phone"/>
    <w:bookmarkStart w:id="36" w:name="OFF_PhoneHIF"/>
    <w:bookmarkStart w:id="37" w:name="XIF_MMSecondAddressLine"/>
    <w:bookmarkEnd w:id="24"/>
    <w:r w:rsidRPr="008141D2">
      <w:t>Tlf.</w:t>
    </w:r>
    <w:bookmarkEnd w:id="35"/>
    <w:r w:rsidR="00FE03FE" w:rsidRPr="008141D2">
      <w:t xml:space="preserve"> </w:t>
    </w:r>
    <w:bookmarkStart w:id="38" w:name="OFF_Phone"/>
    <w:r w:rsidRPr="008141D2">
      <w:t>33 95 80 00</w:t>
    </w:r>
    <w:bookmarkEnd w:id="38"/>
    <w:r w:rsidR="00FE03FE" w:rsidRPr="008141D2">
      <w:t xml:space="preserve"> </w:t>
    </w:r>
    <w:bookmarkEnd w:id="36"/>
    <w:r w:rsidR="00FE03FE" w:rsidRPr="008141D2">
      <w:rPr>
        <w:vanish/>
      </w:rPr>
      <w:t xml:space="preserve">• </w:t>
    </w:r>
    <w:bookmarkStart w:id="39" w:name="LAN_Fax"/>
    <w:bookmarkStart w:id="40" w:name="OFF_FaxHIF"/>
    <w:r w:rsidRPr="008141D2">
      <w:rPr>
        <w:vanish/>
      </w:rPr>
      <w:t>Fax</w:t>
    </w:r>
    <w:bookmarkEnd w:id="39"/>
    <w:r w:rsidR="00FE03FE" w:rsidRPr="008141D2">
      <w:rPr>
        <w:vanish/>
      </w:rPr>
      <w:t xml:space="preserve"> </w:t>
    </w:r>
    <w:bookmarkStart w:id="41" w:name="OFF_Fax"/>
    <w:bookmarkEnd w:id="41"/>
    <w:r w:rsidR="00FE03FE" w:rsidRPr="008141D2">
      <w:rPr>
        <w:vanish/>
      </w:rPr>
      <w:t xml:space="preserve"> </w:t>
    </w:r>
    <w:bookmarkEnd w:id="40"/>
    <w:r w:rsidR="00FE03FE" w:rsidRPr="008141D2">
      <w:rPr>
        <w:vanish/>
      </w:rPr>
      <w:t xml:space="preserve">• </w:t>
    </w:r>
    <w:bookmarkStart w:id="42" w:name="OFF_CVRHIF"/>
    <w:r w:rsidR="00FE03FE" w:rsidRPr="008141D2">
      <w:rPr>
        <w:vanish/>
      </w:rPr>
      <w:t xml:space="preserve">CVR </w:t>
    </w:r>
    <w:bookmarkStart w:id="43" w:name="OFF_CVR"/>
    <w:bookmarkEnd w:id="43"/>
    <w:r w:rsidR="00FE03FE" w:rsidRPr="008141D2">
      <w:rPr>
        <w:vanish/>
      </w:rPr>
      <w:t xml:space="preserve"> </w:t>
    </w:r>
    <w:bookmarkEnd w:id="42"/>
    <w:r w:rsidR="00FE03FE" w:rsidRPr="008141D2">
      <w:t xml:space="preserve">• </w:t>
    </w:r>
    <w:bookmarkStart w:id="44" w:name="OFF_EANHIF"/>
    <w:r w:rsidR="00FE03FE" w:rsidRPr="008141D2">
      <w:t xml:space="preserve">EAN </w:t>
    </w:r>
    <w:bookmarkStart w:id="45" w:name="OFF_EAN"/>
    <w:r w:rsidRPr="008141D2">
      <w:t>5798000877955</w:t>
    </w:r>
    <w:bookmarkEnd w:id="45"/>
    <w:r w:rsidR="00FE03FE" w:rsidRPr="008141D2">
      <w:t xml:space="preserve"> </w:t>
    </w:r>
    <w:bookmarkEnd w:id="44"/>
    <w:r w:rsidR="00FE03FE" w:rsidRPr="008141D2">
      <w:t xml:space="preserve">• </w:t>
    </w:r>
    <w:bookmarkStart w:id="46" w:name="OFF_Email"/>
    <w:bookmarkStart w:id="47" w:name="OFF_EmailHIF"/>
    <w:r w:rsidRPr="008141D2">
      <w:t>mail@l</w:t>
    </w:r>
    <w:r w:rsidR="00AC787B" w:rsidRPr="008141D2">
      <w:t>b</w:t>
    </w:r>
    <w:r w:rsidRPr="008141D2">
      <w:t>st.dk</w:t>
    </w:r>
    <w:bookmarkEnd w:id="46"/>
    <w:r w:rsidR="00FE03FE" w:rsidRPr="008141D2">
      <w:t xml:space="preserve"> </w:t>
    </w:r>
    <w:bookmarkEnd w:id="47"/>
    <w:r w:rsidR="00FE03FE" w:rsidRPr="008141D2">
      <w:t xml:space="preserve">• </w:t>
    </w:r>
    <w:bookmarkStart w:id="48" w:name="OFF_Web"/>
    <w:bookmarkStart w:id="49" w:name="OFF_WebHIF"/>
    <w:r w:rsidRPr="008141D2">
      <w:t>www.l</w:t>
    </w:r>
    <w:r w:rsidR="00AC787B" w:rsidRPr="008141D2">
      <w:t>b</w:t>
    </w:r>
    <w:r w:rsidRPr="008141D2">
      <w:t>st.dk</w:t>
    </w:r>
    <w:bookmarkEnd w:id="48"/>
    <w:r w:rsidR="00FE03FE" w:rsidRPr="008141D2">
      <w:t xml:space="preserve"> </w:t>
    </w:r>
    <w:bookmarkEnd w:id="37"/>
    <w:bookmarkEnd w:id="49"/>
  </w:p>
  <w:bookmarkEnd w:id="25"/>
  <w:p w14:paraId="60E87B56" w14:textId="77777777" w:rsidR="0048667B" w:rsidRPr="008141D2" w:rsidRDefault="0048667B">
    <w:pPr>
      <w:pStyle w:val="Sidefod"/>
    </w:pPr>
    <w:r w:rsidRPr="008141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32D8" w14:textId="77777777" w:rsidR="00C8511C" w:rsidRDefault="00C8511C">
      <w:r>
        <w:separator/>
      </w:r>
    </w:p>
  </w:footnote>
  <w:footnote w:type="continuationSeparator" w:id="0">
    <w:p w14:paraId="7DC381B4" w14:textId="77777777" w:rsidR="00C8511C" w:rsidRDefault="00C8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3816" w14:textId="77777777" w:rsidR="002B73AA" w:rsidRDefault="002B73A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33CE" w14:textId="77777777" w:rsidR="000E717B" w:rsidRDefault="000E717B">
    <w:pPr>
      <w:pStyle w:val="Sidehoved"/>
    </w:pPr>
    <w:bookmarkStart w:id="1" w:name="BIT_PrimaryHeader"/>
  </w:p>
  <w:bookmarkEnd w:id="1"/>
  <w:p w14:paraId="4D3F5601" w14:textId="77777777"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250B" w14:textId="77777777" w:rsidR="00FE03FE" w:rsidRDefault="00FE03FE" w:rsidP="00CF614F">
    <w:bookmarkStart w:id="2" w:name="CNT_HeaderFirst"/>
    <w:bookmarkStart w:id="3" w:name="FLD_DocumentName"/>
    <w:r>
      <w:rPr>
        <w:noProof/>
      </w:rPr>
      <mc:AlternateContent>
        <mc:Choice Requires="wps">
          <w:drawing>
            <wp:anchor distT="0" distB="0" distL="114300" distR="114300" simplePos="0" relativeHeight="251659264" behindDoc="0" locked="1" layoutInCell="1" allowOverlap="1" wp14:anchorId="7A48567C" wp14:editId="442ABDAB">
              <wp:simplePos x="0" y="0"/>
              <wp:positionH relativeFrom="page">
                <wp:posOffset>5391150</wp:posOffset>
              </wp:positionH>
              <wp:positionV relativeFrom="margin">
                <wp:posOffset>-635</wp:posOffset>
              </wp:positionV>
              <wp:extent cx="2015490" cy="638175"/>
              <wp:effectExtent l="0" t="0" r="3810" b="9525"/>
              <wp:wrapNone/>
              <wp:docPr id="1" name="Kolofon"/>
              <wp:cNvGraphicFramePr/>
              <a:graphic xmlns:a="http://schemas.openxmlformats.org/drawingml/2006/main">
                <a:graphicData uri="http://schemas.microsoft.com/office/word/2010/wordprocessingShape">
                  <wps:wsp>
                    <wps:cNvSpPr txBox="1"/>
                    <wps:spPr>
                      <a:xfrm>
                        <a:off x="0" y="0"/>
                        <a:ext cx="201549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410"/>
                          </w:tblGrid>
                          <w:tr w:rsidR="00FE03FE" w14:paraId="121677F6" w14:textId="77777777" w:rsidTr="00950297">
                            <w:trPr>
                              <w:cantSplit/>
                              <w:trHeight w:val="2778"/>
                              <w:hidden/>
                            </w:trPr>
                            <w:tc>
                              <w:tcPr>
                                <w:tcW w:w="2410" w:type="dxa"/>
                                <w:tcMar>
                                  <w:top w:w="34" w:type="dxa"/>
                                  <w:left w:w="0" w:type="dxa"/>
                                  <w:bottom w:w="28" w:type="dxa"/>
                                  <w:right w:w="0" w:type="dxa"/>
                                </w:tcMar>
                              </w:tcPr>
                              <w:p w14:paraId="76398B57" w14:textId="77777777" w:rsidR="00FE03FE" w:rsidRPr="00950297" w:rsidRDefault="00FE03FE">
                                <w:pPr>
                                  <w:pStyle w:val="Kolofontekst"/>
                                  <w:rPr>
                                    <w:vanish/>
                                  </w:rPr>
                                </w:pPr>
                                <w:bookmarkStart w:id="4" w:name="OFF_Department"/>
                                <w:bookmarkStart w:id="5" w:name="OFF_DepartmentHIF"/>
                                <w:bookmarkEnd w:id="4"/>
                              </w:p>
                              <w:p w14:paraId="18A38BE2" w14:textId="77777777" w:rsidR="00FE03FE" w:rsidRPr="00950297" w:rsidRDefault="00950297">
                                <w:pPr>
                                  <w:pStyle w:val="Kolofontekst"/>
                                </w:pPr>
                                <w:bookmarkStart w:id="6" w:name="LAN_CaseNo"/>
                                <w:bookmarkStart w:id="7" w:name="sagsnrHIF"/>
                                <w:bookmarkEnd w:id="5"/>
                                <w:r w:rsidRPr="00950297">
                                  <w:t>J.nr.</w:t>
                                </w:r>
                                <w:bookmarkEnd w:id="6"/>
                                <w:r w:rsidR="00FE03FE" w:rsidRPr="00950297">
                                  <w:t xml:space="preserve"> </w:t>
                                </w:r>
                                <w:bookmarkStart w:id="8" w:name="sagsnr"/>
                                <w:r w:rsidRPr="00950297">
                                  <w:t>17-30</w:t>
                                </w:r>
                                <w:r w:rsidR="00DD5F54">
                                  <w:t>412</w:t>
                                </w:r>
                                <w:r w:rsidRPr="00950297">
                                  <w:t>-0000</w:t>
                                </w:r>
                                <w:r w:rsidR="00DD5F54">
                                  <w:t>02</w:t>
                                </w:r>
                                <w:bookmarkEnd w:id="8"/>
                              </w:p>
                              <w:p w14:paraId="553A1991" w14:textId="77777777" w:rsidR="00FE03FE" w:rsidRPr="00950297" w:rsidRDefault="00950297">
                                <w:pPr>
                                  <w:pStyle w:val="Kolofontekst"/>
                                </w:pPr>
                                <w:bookmarkStart w:id="9" w:name="LAN_Ref"/>
                                <w:bookmarkStart w:id="10" w:name="USR_InitialsHIF"/>
                                <w:bookmarkEnd w:id="7"/>
                                <w:r w:rsidRPr="00950297">
                                  <w:t>Ref.</w:t>
                                </w:r>
                                <w:bookmarkEnd w:id="9"/>
                                <w:r w:rsidR="00FE03FE" w:rsidRPr="00950297">
                                  <w:t xml:space="preserve"> </w:t>
                                </w:r>
                                <w:bookmarkStart w:id="11" w:name="USR_Initials"/>
                                <w:r w:rsidRPr="00950297">
                                  <w:t>MEB</w:t>
                                </w:r>
                                <w:bookmarkEnd w:id="11"/>
                              </w:p>
                              <w:p w14:paraId="30F3BFEB" w14:textId="3E3A96C5" w:rsidR="00FE03FE" w:rsidRDefault="00950297" w:rsidP="002B73AA">
                                <w:pPr>
                                  <w:pStyle w:val="Kolofontekst"/>
                                </w:pPr>
                                <w:bookmarkStart w:id="12" w:name="FLD_DocumentDate"/>
                                <w:bookmarkEnd w:id="10"/>
                                <w:r>
                                  <w:rPr>
                                    <w:noProof/>
                                  </w:rPr>
                                  <w:t xml:space="preserve">Den </w:t>
                                </w:r>
                                <w:bookmarkEnd w:id="12"/>
                                <w:r w:rsidR="002B73AA">
                                  <w:rPr>
                                    <w:noProof/>
                                  </w:rPr>
                                  <w:t>14</w:t>
                                </w:r>
                                <w:r w:rsidR="00DD5F54">
                                  <w:rPr>
                                    <w:noProof/>
                                  </w:rPr>
                                  <w:t xml:space="preserve">. </w:t>
                                </w:r>
                                <w:r w:rsidR="002B73AA">
                                  <w:rPr>
                                    <w:noProof/>
                                  </w:rPr>
                                  <w:t xml:space="preserve">marts </w:t>
                                </w:r>
                                <w:r w:rsidR="00DD5F54">
                                  <w:rPr>
                                    <w:noProof/>
                                  </w:rPr>
                                  <w:t>2018</w:t>
                                </w:r>
                              </w:p>
                            </w:tc>
                          </w:tr>
                        </w:tbl>
                        <w:p w14:paraId="0304C6D4" w14:textId="77777777"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8567C" id="_x0000_t202" coordsize="21600,21600" o:spt="202" path="m,l,21600r21600,l21600,xe">
              <v:stroke joinstyle="miter"/>
              <v:path gradientshapeok="t" o:connecttype="rect"/>
            </v:shapetype>
            <v:shape id="Kolofon" o:spid="_x0000_s1026" type="#_x0000_t202" style="position:absolute;margin-left:424.5pt;margin-top:-.05pt;width:158.7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8bgIAAE8FAAAOAAAAZHJzL2Uyb0RvYy54bWysVE1P3DAQvVfqf7B8L1looTQii7YgqqoI&#10;UKHi7HVsNqrjcW3vJsuv77OTLIj2QtWLM5l58zyfPjntW8M2yoeGbMX392acKSupbuxDxX/cXbw7&#10;5ixEYWthyKqKb1Xgp/O3b046V6oDWpGplWcgsaHsXMVXMbqyKIJcqVaEPXLKwqjJtyLi1z8UtRcd&#10;2FtTHMxmR0VHvnaepAoB2vPByOeZX2sl47XWQUVmKo7YYj59PpfpLOYnonzwwq0aOYYh/iGKVjQW&#10;l+6ozkUUbO2bP6jaRnoKpOOepLYgrRupcg7IZn/2IpvblXAq54LiBLcrU/h/tPJqc+NZU6N3nFnR&#10;okXfyJAmm0rTuVACceuAif1n6hNs1AcoU8a99m36IhcGO4q83RVW9ZFJKJHb4YdPMEnYjt4f7388&#10;TDTFk7fzIX5R1LIkVNyjcbmeYnMZ4gCdIOkySxeNMdCL0ljWJdLDWXbYWUBubAKoPAYjTcpoiDxL&#10;cWvUQPJdaZQhJ5AUeQDVmfFsIzA6QkplY8498wKdUBpBvMZxxD9F9RrnIY/pZrJx59w2lnzO/kXY&#10;9c8pZDQ04VHzZ3knMfbLfuzokuotGu1p2JLg5EWDblyKEG+Ex1qggVj1eI1DG0LVaZQ4W5F//Js+&#10;4TGtsHLWYc0qHn6thVecma8Wc5x2chL8JCwnwa7bM0L5MZuIJotw8NFMovbU3uMFWKRbYBJW4q6K&#10;x0k8i8Oy4wWRarHIIGyeE/HS3jqZqFM30mzd9ffCu3EAI0b3iqYFFOWLORywydPSYh1JN3lIU0GH&#10;Ko6FxtbmMR9fmPQsPP/PqKd3cP4bAAD//wMAUEsDBBQABgAIAAAAIQDQdvrR3wAAAAoBAAAPAAAA&#10;ZHJzL2Rvd25yZXYueG1sTI9LT8MwEITvSPwHa5G4tXZQFJUQp0I8bjxKAQluTrwkEX5E9iYN/x73&#10;BLdZzWrmm2q7WMNmDHHwTkK2FsDQtV4PrpPw9nq/2gCLpJxWxjuU8IMRtvXpSaVK7Q/uBec9dSyF&#10;uFgqCT3RWHIe2x6tims/okvelw9WUTpDx3VQhxRuDb8QouBWDS419GrEmx7b7/1kJZiPGB4aQZ/z&#10;bfdIu2c+vd9lT1Keny3XV8AIF/p7hiN+Qoc6MTV+cjoyI2GTX6YtJGGVATv6WVHkwJqkhMiB1xX/&#10;P6H+BQAA//8DAFBLAQItABQABgAIAAAAIQC2gziS/gAAAOEBAAATAAAAAAAAAAAAAAAAAAAAAABb&#10;Q29udGVudF9UeXBlc10ueG1sUEsBAi0AFAAGAAgAAAAhADj9If/WAAAAlAEAAAsAAAAAAAAAAAAA&#10;AAAALwEAAF9yZWxzLy5yZWxzUEsBAi0AFAAGAAgAAAAhAHr7wfxuAgAATwUAAA4AAAAAAAAAAAAA&#10;AAAALgIAAGRycy9lMm9Eb2MueG1sUEsBAi0AFAAGAAgAAAAhANB2+tHfAAAACgEAAA8AAAAAAAAA&#10;AAAAAAAAyA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410"/>
                    </w:tblGrid>
                    <w:tr w:rsidR="00FE03FE" w14:paraId="121677F6" w14:textId="77777777" w:rsidTr="00950297">
                      <w:trPr>
                        <w:cantSplit/>
                        <w:trHeight w:val="2778"/>
                        <w:hidden/>
                      </w:trPr>
                      <w:tc>
                        <w:tcPr>
                          <w:tcW w:w="2410" w:type="dxa"/>
                          <w:tcMar>
                            <w:top w:w="34" w:type="dxa"/>
                            <w:left w:w="0" w:type="dxa"/>
                            <w:bottom w:w="28" w:type="dxa"/>
                            <w:right w:w="0" w:type="dxa"/>
                          </w:tcMar>
                        </w:tcPr>
                        <w:p w14:paraId="76398B57" w14:textId="77777777" w:rsidR="00FE03FE" w:rsidRPr="00950297" w:rsidRDefault="00FE03FE">
                          <w:pPr>
                            <w:pStyle w:val="Kolofontekst"/>
                            <w:rPr>
                              <w:vanish/>
                            </w:rPr>
                          </w:pPr>
                          <w:bookmarkStart w:id="13" w:name="OFF_Department"/>
                          <w:bookmarkStart w:id="14" w:name="OFF_DepartmentHIF"/>
                          <w:bookmarkEnd w:id="13"/>
                        </w:p>
                        <w:p w14:paraId="18A38BE2" w14:textId="77777777" w:rsidR="00FE03FE" w:rsidRPr="00950297" w:rsidRDefault="00950297">
                          <w:pPr>
                            <w:pStyle w:val="Kolofontekst"/>
                          </w:pPr>
                          <w:bookmarkStart w:id="15" w:name="LAN_CaseNo"/>
                          <w:bookmarkStart w:id="16" w:name="sagsnrHIF"/>
                          <w:bookmarkEnd w:id="14"/>
                          <w:r w:rsidRPr="00950297">
                            <w:t>J.nr.</w:t>
                          </w:r>
                          <w:bookmarkEnd w:id="15"/>
                          <w:r w:rsidR="00FE03FE" w:rsidRPr="00950297">
                            <w:t xml:space="preserve"> </w:t>
                          </w:r>
                          <w:bookmarkStart w:id="17" w:name="sagsnr"/>
                          <w:r w:rsidRPr="00950297">
                            <w:t>17-30</w:t>
                          </w:r>
                          <w:r w:rsidR="00DD5F54">
                            <w:t>412</w:t>
                          </w:r>
                          <w:r w:rsidRPr="00950297">
                            <w:t>-0000</w:t>
                          </w:r>
                          <w:r w:rsidR="00DD5F54">
                            <w:t>02</w:t>
                          </w:r>
                          <w:bookmarkEnd w:id="17"/>
                        </w:p>
                        <w:p w14:paraId="553A1991" w14:textId="77777777" w:rsidR="00FE03FE" w:rsidRPr="00950297" w:rsidRDefault="00950297">
                          <w:pPr>
                            <w:pStyle w:val="Kolofontekst"/>
                          </w:pPr>
                          <w:bookmarkStart w:id="18" w:name="LAN_Ref"/>
                          <w:bookmarkStart w:id="19" w:name="USR_InitialsHIF"/>
                          <w:bookmarkEnd w:id="16"/>
                          <w:r w:rsidRPr="00950297">
                            <w:t>Ref.</w:t>
                          </w:r>
                          <w:bookmarkEnd w:id="18"/>
                          <w:r w:rsidR="00FE03FE" w:rsidRPr="00950297">
                            <w:t xml:space="preserve"> </w:t>
                          </w:r>
                          <w:bookmarkStart w:id="20" w:name="USR_Initials"/>
                          <w:r w:rsidRPr="00950297">
                            <w:t>MEB</w:t>
                          </w:r>
                          <w:bookmarkEnd w:id="20"/>
                        </w:p>
                        <w:p w14:paraId="30F3BFEB" w14:textId="3E3A96C5" w:rsidR="00FE03FE" w:rsidRDefault="00950297" w:rsidP="002B73AA">
                          <w:pPr>
                            <w:pStyle w:val="Kolofontekst"/>
                          </w:pPr>
                          <w:bookmarkStart w:id="21" w:name="FLD_DocumentDate"/>
                          <w:bookmarkEnd w:id="19"/>
                          <w:r>
                            <w:rPr>
                              <w:noProof/>
                            </w:rPr>
                            <w:t xml:space="preserve">Den </w:t>
                          </w:r>
                          <w:bookmarkEnd w:id="21"/>
                          <w:r w:rsidR="002B73AA">
                            <w:rPr>
                              <w:noProof/>
                            </w:rPr>
                            <w:t>14</w:t>
                          </w:r>
                          <w:r w:rsidR="00DD5F54">
                            <w:rPr>
                              <w:noProof/>
                            </w:rPr>
                            <w:t xml:space="preserve">. </w:t>
                          </w:r>
                          <w:r w:rsidR="002B73AA">
                            <w:rPr>
                              <w:noProof/>
                            </w:rPr>
                            <w:t xml:space="preserve">marts </w:t>
                          </w:r>
                          <w:r w:rsidR="00DD5F54">
                            <w:rPr>
                              <w:noProof/>
                            </w:rPr>
                            <w:t>2018</w:t>
                          </w:r>
                        </w:p>
                      </w:tc>
                    </w:tr>
                  </w:tbl>
                  <w:p w14:paraId="0304C6D4" w14:textId="77777777" w:rsidR="00FE03FE" w:rsidRDefault="00FE03FE" w:rsidP="00CF614F"/>
                </w:txbxContent>
              </v:textbox>
              <w10:wrap anchorx="page" anchory="margin"/>
              <w10:anchorlock/>
            </v:shape>
          </w:pict>
        </mc:Fallback>
      </mc:AlternateContent>
    </w:r>
  </w:p>
  <w:bookmarkEnd w:id="2"/>
  <w:p w14:paraId="2484CC46" w14:textId="77777777" w:rsidR="00A51DBA" w:rsidRDefault="00FE03FE" w:rsidP="00CF1627">
    <w:pPr>
      <w:pStyle w:val="DocumentName"/>
    </w:pPr>
    <w:r>
      <w:t>Notat</w:t>
    </w:r>
    <w:bookmarkEnd w:id="3"/>
    <w:r w:rsidR="00AC787B">
      <w:rPr>
        <w:noProof/>
      </w:rPr>
      <w:drawing>
        <wp:anchor distT="0" distB="0" distL="114300" distR="114300" simplePos="0" relativeHeight="251661312" behindDoc="0" locked="1" layoutInCell="1" allowOverlap="1" wp14:anchorId="36BB353E" wp14:editId="46F6697C">
          <wp:simplePos x="0" y="0"/>
          <wp:positionH relativeFrom="rightMargin">
            <wp:posOffset>-2066290</wp:posOffset>
          </wp:positionH>
          <wp:positionV relativeFrom="page">
            <wp:posOffset>465455</wp:posOffset>
          </wp:positionV>
          <wp:extent cx="262763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79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9A3E93"/>
    <w:multiLevelType w:val="hybridMultilevel"/>
    <w:tmpl w:val="77E4F358"/>
    <w:lvl w:ilvl="0" w:tplc="238409B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7551CDA"/>
    <w:multiLevelType w:val="hybridMultilevel"/>
    <w:tmpl w:val="0AAA7A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3B5107"/>
    <w:multiLevelType w:val="hybridMultilevel"/>
    <w:tmpl w:val="7B6A21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A7A5210"/>
    <w:multiLevelType w:val="hybridMultilevel"/>
    <w:tmpl w:val="E4E60590"/>
    <w:lvl w:ilvl="0" w:tplc="238409B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34414B"/>
    <w:multiLevelType w:val="multilevel"/>
    <w:tmpl w:val="9FFE601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76A9C"/>
    <w:multiLevelType w:val="singleLevel"/>
    <w:tmpl w:val="238409B2"/>
    <w:lvl w:ilvl="0">
      <w:start w:val="1"/>
      <w:numFmt w:val="decimal"/>
      <w:lvlText w:val="%1."/>
      <w:lvlJc w:val="left"/>
      <w:pPr>
        <w:tabs>
          <w:tab w:val="num" w:pos="360"/>
        </w:tabs>
        <w:ind w:left="360" w:hanging="360"/>
      </w:pPr>
    </w:lvl>
  </w:abstractNum>
  <w:abstractNum w:abstractNumId="18" w15:restartNumberingAfterBreak="0">
    <w:nsid w:val="4105304E"/>
    <w:multiLevelType w:val="multilevel"/>
    <w:tmpl w:val="8E9C9466"/>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474E3E9C"/>
    <w:multiLevelType w:val="hybridMultilevel"/>
    <w:tmpl w:val="329E5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FA7000"/>
    <w:multiLevelType w:val="singleLevel"/>
    <w:tmpl w:val="238409B2"/>
    <w:lvl w:ilvl="0">
      <w:start w:val="1"/>
      <w:numFmt w:val="decimal"/>
      <w:lvlText w:val="%1."/>
      <w:lvlJc w:val="left"/>
      <w:pPr>
        <w:tabs>
          <w:tab w:val="num" w:pos="360"/>
        </w:tabs>
        <w:ind w:left="360" w:hanging="360"/>
      </w:pPr>
    </w:lvl>
  </w:abstractNum>
  <w:abstractNum w:abstractNumId="21" w15:restartNumberingAfterBreak="0">
    <w:nsid w:val="4C546586"/>
    <w:multiLevelType w:val="hybridMultilevel"/>
    <w:tmpl w:val="0B62EB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DC4D09"/>
    <w:multiLevelType w:val="hybridMultilevel"/>
    <w:tmpl w:val="49E4136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373DD6"/>
    <w:multiLevelType w:val="hybridMultilevel"/>
    <w:tmpl w:val="0AAA7A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79D6049"/>
    <w:multiLevelType w:val="hybridMultilevel"/>
    <w:tmpl w:val="1CC05F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3770DE"/>
    <w:multiLevelType w:val="singleLevel"/>
    <w:tmpl w:val="238409B2"/>
    <w:lvl w:ilvl="0">
      <w:start w:val="1"/>
      <w:numFmt w:val="decimal"/>
      <w:lvlText w:val="%1."/>
      <w:lvlJc w:val="left"/>
      <w:pPr>
        <w:tabs>
          <w:tab w:val="num" w:pos="360"/>
        </w:tabs>
        <w:ind w:left="360" w:hanging="360"/>
      </w:pPr>
    </w:lvl>
  </w:abstractNum>
  <w:abstractNum w:abstractNumId="27" w15:restartNumberingAfterBreak="0">
    <w:nsid w:val="650A7D1B"/>
    <w:multiLevelType w:val="hybridMultilevel"/>
    <w:tmpl w:val="85BC02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8474D6"/>
    <w:multiLevelType w:val="hybridMultilevel"/>
    <w:tmpl w:val="04F8F18C"/>
    <w:lvl w:ilvl="0" w:tplc="238409B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821549A"/>
    <w:multiLevelType w:val="hybridMultilevel"/>
    <w:tmpl w:val="E04C6B00"/>
    <w:lvl w:ilvl="0" w:tplc="B31A7DA6">
      <w:start w:val="1"/>
      <w:numFmt w:val="bullet"/>
      <w:lvlText w:val="-"/>
      <w:lvlJc w:val="left"/>
      <w:pPr>
        <w:ind w:left="717" w:hanging="360"/>
      </w:pPr>
      <w:rPr>
        <w:rFonts w:ascii="Georgia" w:eastAsia="Times New Roman" w:hAnsi="Georgia" w:cs="Times New Roman"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9"/>
  </w:num>
  <w:num w:numId="12">
    <w:abstractNumId w:val="25"/>
  </w:num>
  <w:num w:numId="13">
    <w:abstractNumId w:val="16"/>
  </w:num>
  <w:num w:numId="14">
    <w:abstractNumId w:val="8"/>
  </w:num>
  <w:num w:numId="15">
    <w:abstractNumId w:val="21"/>
  </w:num>
  <w:num w:numId="16">
    <w:abstractNumId w:val="22"/>
  </w:num>
  <w:num w:numId="17">
    <w:abstractNumId w:val="24"/>
  </w:num>
  <w:num w:numId="18">
    <w:abstractNumId w:val="27"/>
  </w:num>
  <w:num w:numId="19">
    <w:abstractNumId w:val="19"/>
  </w:num>
  <w:num w:numId="20">
    <w:abstractNumId w:val="23"/>
  </w:num>
  <w:num w:numId="21">
    <w:abstractNumId w:val="29"/>
  </w:num>
  <w:num w:numId="22">
    <w:abstractNumId w:val="12"/>
  </w:num>
  <w:num w:numId="23">
    <w:abstractNumId w:val="17"/>
  </w:num>
  <w:num w:numId="24">
    <w:abstractNumId w:val="20"/>
  </w:num>
  <w:num w:numId="25">
    <w:abstractNumId w:val="26"/>
  </w:num>
  <w:num w:numId="26">
    <w:abstractNumId w:val="13"/>
  </w:num>
  <w:num w:numId="27">
    <w:abstractNumId w:val="18"/>
  </w:num>
  <w:num w:numId="28">
    <w:abstractNumId w:val="10"/>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4343"/>
    <w:rsid w:val="00005FAA"/>
    <w:rsid w:val="000069D8"/>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82404"/>
    <w:rsid w:val="000825EC"/>
    <w:rsid w:val="00086B6B"/>
    <w:rsid w:val="00096AA1"/>
    <w:rsid w:val="000A06A7"/>
    <w:rsid w:val="000A1C92"/>
    <w:rsid w:val="000A26F5"/>
    <w:rsid w:val="000A7219"/>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62ABB"/>
    <w:rsid w:val="00162CDA"/>
    <w:rsid w:val="001743E7"/>
    <w:rsid w:val="00183D05"/>
    <w:rsid w:val="001A0525"/>
    <w:rsid w:val="001A4CEE"/>
    <w:rsid w:val="001A4D56"/>
    <w:rsid w:val="001A58BF"/>
    <w:rsid w:val="001A6CB5"/>
    <w:rsid w:val="001A7E4B"/>
    <w:rsid w:val="001B3F10"/>
    <w:rsid w:val="001B72A9"/>
    <w:rsid w:val="001C10ED"/>
    <w:rsid w:val="001C2544"/>
    <w:rsid w:val="001C417D"/>
    <w:rsid w:val="001C4328"/>
    <w:rsid w:val="001C73D7"/>
    <w:rsid w:val="001C7630"/>
    <w:rsid w:val="001D1196"/>
    <w:rsid w:val="001D19D8"/>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16A90"/>
    <w:rsid w:val="002239C6"/>
    <w:rsid w:val="00225534"/>
    <w:rsid w:val="00235C1F"/>
    <w:rsid w:val="002366E2"/>
    <w:rsid w:val="002629A8"/>
    <w:rsid w:val="002639DB"/>
    <w:rsid w:val="00264240"/>
    <w:rsid w:val="002654F9"/>
    <w:rsid w:val="00267F76"/>
    <w:rsid w:val="0027546B"/>
    <w:rsid w:val="002766A1"/>
    <w:rsid w:val="00283D52"/>
    <w:rsid w:val="00284176"/>
    <w:rsid w:val="00293240"/>
    <w:rsid w:val="002933E6"/>
    <w:rsid w:val="0029629D"/>
    <w:rsid w:val="002A29B1"/>
    <w:rsid w:val="002A37B0"/>
    <w:rsid w:val="002A7860"/>
    <w:rsid w:val="002B73AA"/>
    <w:rsid w:val="002C042D"/>
    <w:rsid w:val="002C4595"/>
    <w:rsid w:val="002C4D00"/>
    <w:rsid w:val="002D00C9"/>
    <w:rsid w:val="002D1875"/>
    <w:rsid w:val="002D268E"/>
    <w:rsid w:val="002D7F0F"/>
    <w:rsid w:val="003001A2"/>
    <w:rsid w:val="00310C3C"/>
    <w:rsid w:val="00311DB5"/>
    <w:rsid w:val="00313642"/>
    <w:rsid w:val="00315AC9"/>
    <w:rsid w:val="00320951"/>
    <w:rsid w:val="003209AA"/>
    <w:rsid w:val="00320A03"/>
    <w:rsid w:val="00322BBE"/>
    <w:rsid w:val="00326ED5"/>
    <w:rsid w:val="00331970"/>
    <w:rsid w:val="00334038"/>
    <w:rsid w:val="00334562"/>
    <w:rsid w:val="00343A37"/>
    <w:rsid w:val="00345FA9"/>
    <w:rsid w:val="003465B4"/>
    <w:rsid w:val="00350582"/>
    <w:rsid w:val="00350DD2"/>
    <w:rsid w:val="00351DBD"/>
    <w:rsid w:val="00353FAA"/>
    <w:rsid w:val="003558D9"/>
    <w:rsid w:val="00362EAC"/>
    <w:rsid w:val="003636BF"/>
    <w:rsid w:val="00365BC4"/>
    <w:rsid w:val="003819FF"/>
    <w:rsid w:val="00385C06"/>
    <w:rsid w:val="003864CC"/>
    <w:rsid w:val="00386D0C"/>
    <w:rsid w:val="00387E0C"/>
    <w:rsid w:val="003966D8"/>
    <w:rsid w:val="00397271"/>
    <w:rsid w:val="003A0376"/>
    <w:rsid w:val="003A3350"/>
    <w:rsid w:val="003A3369"/>
    <w:rsid w:val="003A44A9"/>
    <w:rsid w:val="003B6C74"/>
    <w:rsid w:val="003C67E6"/>
    <w:rsid w:val="003C6F63"/>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1BB4"/>
    <w:rsid w:val="0041385B"/>
    <w:rsid w:val="00415BC0"/>
    <w:rsid w:val="004208E6"/>
    <w:rsid w:val="004232F9"/>
    <w:rsid w:val="00433A1E"/>
    <w:rsid w:val="00440668"/>
    <w:rsid w:val="004421D7"/>
    <w:rsid w:val="004478C8"/>
    <w:rsid w:val="00447B83"/>
    <w:rsid w:val="00450475"/>
    <w:rsid w:val="004561B3"/>
    <w:rsid w:val="00456617"/>
    <w:rsid w:val="00457882"/>
    <w:rsid w:val="00460B5A"/>
    <w:rsid w:val="0046596F"/>
    <w:rsid w:val="004659D8"/>
    <w:rsid w:val="0046600E"/>
    <w:rsid w:val="00467E79"/>
    <w:rsid w:val="00476722"/>
    <w:rsid w:val="00481EEB"/>
    <w:rsid w:val="0048414C"/>
    <w:rsid w:val="0048667B"/>
    <w:rsid w:val="00495993"/>
    <w:rsid w:val="004979B6"/>
    <w:rsid w:val="004A3AAA"/>
    <w:rsid w:val="004A4315"/>
    <w:rsid w:val="004B5995"/>
    <w:rsid w:val="004B5AC3"/>
    <w:rsid w:val="004B6A8B"/>
    <w:rsid w:val="004C0742"/>
    <w:rsid w:val="004C237E"/>
    <w:rsid w:val="004C491E"/>
    <w:rsid w:val="004C63FE"/>
    <w:rsid w:val="004D23C9"/>
    <w:rsid w:val="004D4423"/>
    <w:rsid w:val="004D6645"/>
    <w:rsid w:val="004E33EF"/>
    <w:rsid w:val="004E562B"/>
    <w:rsid w:val="004E642A"/>
    <w:rsid w:val="004E7C82"/>
    <w:rsid w:val="004F2491"/>
    <w:rsid w:val="004F7C92"/>
    <w:rsid w:val="005009DC"/>
    <w:rsid w:val="00500EFC"/>
    <w:rsid w:val="00501E2E"/>
    <w:rsid w:val="0051781E"/>
    <w:rsid w:val="00520971"/>
    <w:rsid w:val="005267CB"/>
    <w:rsid w:val="005271D6"/>
    <w:rsid w:val="00531869"/>
    <w:rsid w:val="00535B7D"/>
    <w:rsid w:val="0053660A"/>
    <w:rsid w:val="00541D1B"/>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2184"/>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36AC2"/>
    <w:rsid w:val="00641AE1"/>
    <w:rsid w:val="00655780"/>
    <w:rsid w:val="00656763"/>
    <w:rsid w:val="00656C96"/>
    <w:rsid w:val="006655CC"/>
    <w:rsid w:val="006665A1"/>
    <w:rsid w:val="006706E8"/>
    <w:rsid w:val="0067771A"/>
    <w:rsid w:val="00684B85"/>
    <w:rsid w:val="0068783F"/>
    <w:rsid w:val="00687CDF"/>
    <w:rsid w:val="00696E85"/>
    <w:rsid w:val="006A18C5"/>
    <w:rsid w:val="006B23A4"/>
    <w:rsid w:val="006C0BDE"/>
    <w:rsid w:val="006D09A7"/>
    <w:rsid w:val="006E7F1D"/>
    <w:rsid w:val="006F3EB3"/>
    <w:rsid w:val="006F4577"/>
    <w:rsid w:val="006F4DCD"/>
    <w:rsid w:val="00702FF2"/>
    <w:rsid w:val="00703B66"/>
    <w:rsid w:val="00705800"/>
    <w:rsid w:val="00705EAB"/>
    <w:rsid w:val="00723455"/>
    <w:rsid w:val="00724762"/>
    <w:rsid w:val="00724D6D"/>
    <w:rsid w:val="00731109"/>
    <w:rsid w:val="0073474C"/>
    <w:rsid w:val="0073754C"/>
    <w:rsid w:val="0074716F"/>
    <w:rsid w:val="0074737F"/>
    <w:rsid w:val="00751650"/>
    <w:rsid w:val="00753673"/>
    <w:rsid w:val="007540BD"/>
    <w:rsid w:val="007616CB"/>
    <w:rsid w:val="00762205"/>
    <w:rsid w:val="0076323D"/>
    <w:rsid w:val="00764201"/>
    <w:rsid w:val="00775306"/>
    <w:rsid w:val="007830BE"/>
    <w:rsid w:val="007877F2"/>
    <w:rsid w:val="00787EAA"/>
    <w:rsid w:val="007940C9"/>
    <w:rsid w:val="00796312"/>
    <w:rsid w:val="007A00E9"/>
    <w:rsid w:val="007A04FE"/>
    <w:rsid w:val="007B1B23"/>
    <w:rsid w:val="007B21FA"/>
    <w:rsid w:val="007B2ADE"/>
    <w:rsid w:val="007B3940"/>
    <w:rsid w:val="007B5F9C"/>
    <w:rsid w:val="007D1CA8"/>
    <w:rsid w:val="007D31F4"/>
    <w:rsid w:val="007D3890"/>
    <w:rsid w:val="007D492E"/>
    <w:rsid w:val="007E0C49"/>
    <w:rsid w:val="007E3A3B"/>
    <w:rsid w:val="007E51F2"/>
    <w:rsid w:val="007E5E97"/>
    <w:rsid w:val="007E7688"/>
    <w:rsid w:val="007F340F"/>
    <w:rsid w:val="007F4A4B"/>
    <w:rsid w:val="007F73B3"/>
    <w:rsid w:val="007F770C"/>
    <w:rsid w:val="008018F5"/>
    <w:rsid w:val="00802CB9"/>
    <w:rsid w:val="00807BA4"/>
    <w:rsid w:val="0081105F"/>
    <w:rsid w:val="008141D2"/>
    <w:rsid w:val="00821133"/>
    <w:rsid w:val="008236B5"/>
    <w:rsid w:val="008324B0"/>
    <w:rsid w:val="008407EC"/>
    <w:rsid w:val="0084333E"/>
    <w:rsid w:val="0084379B"/>
    <w:rsid w:val="00844CA9"/>
    <w:rsid w:val="00847491"/>
    <w:rsid w:val="00850194"/>
    <w:rsid w:val="008559E9"/>
    <w:rsid w:val="008602B1"/>
    <w:rsid w:val="00860D2C"/>
    <w:rsid w:val="00861CBA"/>
    <w:rsid w:val="00863B4C"/>
    <w:rsid w:val="00872AC0"/>
    <w:rsid w:val="00875531"/>
    <w:rsid w:val="00882741"/>
    <w:rsid w:val="00892B13"/>
    <w:rsid w:val="008A1C6B"/>
    <w:rsid w:val="008A4864"/>
    <w:rsid w:val="008A6D27"/>
    <w:rsid w:val="008B1B83"/>
    <w:rsid w:val="008B3309"/>
    <w:rsid w:val="008B3ADA"/>
    <w:rsid w:val="008B3D4C"/>
    <w:rsid w:val="008C0C0C"/>
    <w:rsid w:val="008C1BED"/>
    <w:rsid w:val="008C5F4A"/>
    <w:rsid w:val="008D0709"/>
    <w:rsid w:val="008E3990"/>
    <w:rsid w:val="008F272E"/>
    <w:rsid w:val="008F6B2B"/>
    <w:rsid w:val="00905C37"/>
    <w:rsid w:val="00906916"/>
    <w:rsid w:val="0092514B"/>
    <w:rsid w:val="009264AA"/>
    <w:rsid w:val="009354A9"/>
    <w:rsid w:val="00944EE8"/>
    <w:rsid w:val="009461F0"/>
    <w:rsid w:val="00950297"/>
    <w:rsid w:val="009601F5"/>
    <w:rsid w:val="00963DC8"/>
    <w:rsid w:val="00963E43"/>
    <w:rsid w:val="00970F21"/>
    <w:rsid w:val="00975F3B"/>
    <w:rsid w:val="0098382A"/>
    <w:rsid w:val="009943CD"/>
    <w:rsid w:val="00994E91"/>
    <w:rsid w:val="009B74DB"/>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2C55"/>
    <w:rsid w:val="00A44A6B"/>
    <w:rsid w:val="00A51DBA"/>
    <w:rsid w:val="00A5408B"/>
    <w:rsid w:val="00A556CE"/>
    <w:rsid w:val="00A5623E"/>
    <w:rsid w:val="00A67D37"/>
    <w:rsid w:val="00A72DDE"/>
    <w:rsid w:val="00A83AFB"/>
    <w:rsid w:val="00A85ECD"/>
    <w:rsid w:val="00A8655B"/>
    <w:rsid w:val="00A923E2"/>
    <w:rsid w:val="00A964CE"/>
    <w:rsid w:val="00A96C60"/>
    <w:rsid w:val="00AA4437"/>
    <w:rsid w:val="00AB363A"/>
    <w:rsid w:val="00AB4B2A"/>
    <w:rsid w:val="00AC35D6"/>
    <w:rsid w:val="00AC787B"/>
    <w:rsid w:val="00AD26AD"/>
    <w:rsid w:val="00AD678B"/>
    <w:rsid w:val="00AE3584"/>
    <w:rsid w:val="00AE41A1"/>
    <w:rsid w:val="00AE5A17"/>
    <w:rsid w:val="00AF5AF6"/>
    <w:rsid w:val="00B03C6D"/>
    <w:rsid w:val="00B13BB6"/>
    <w:rsid w:val="00B14441"/>
    <w:rsid w:val="00B2565D"/>
    <w:rsid w:val="00B2710D"/>
    <w:rsid w:val="00B30727"/>
    <w:rsid w:val="00B358B3"/>
    <w:rsid w:val="00B441D7"/>
    <w:rsid w:val="00B54207"/>
    <w:rsid w:val="00B65B52"/>
    <w:rsid w:val="00B67E21"/>
    <w:rsid w:val="00B734BB"/>
    <w:rsid w:val="00B76FCC"/>
    <w:rsid w:val="00B77950"/>
    <w:rsid w:val="00B80700"/>
    <w:rsid w:val="00B86940"/>
    <w:rsid w:val="00B86BC1"/>
    <w:rsid w:val="00B87347"/>
    <w:rsid w:val="00B90A33"/>
    <w:rsid w:val="00B91712"/>
    <w:rsid w:val="00B91D48"/>
    <w:rsid w:val="00B932C3"/>
    <w:rsid w:val="00B94D20"/>
    <w:rsid w:val="00B9526E"/>
    <w:rsid w:val="00BA4AB4"/>
    <w:rsid w:val="00BA519F"/>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2E6F"/>
    <w:rsid w:val="00C8406C"/>
    <w:rsid w:val="00C8511C"/>
    <w:rsid w:val="00C87AAA"/>
    <w:rsid w:val="00C976BA"/>
    <w:rsid w:val="00CA543F"/>
    <w:rsid w:val="00CA6429"/>
    <w:rsid w:val="00CA6ADF"/>
    <w:rsid w:val="00CB5C14"/>
    <w:rsid w:val="00CC12A8"/>
    <w:rsid w:val="00CC51EB"/>
    <w:rsid w:val="00CC6892"/>
    <w:rsid w:val="00CC77A5"/>
    <w:rsid w:val="00CD31FE"/>
    <w:rsid w:val="00CD4F1D"/>
    <w:rsid w:val="00CE1EC6"/>
    <w:rsid w:val="00CE5201"/>
    <w:rsid w:val="00CF1627"/>
    <w:rsid w:val="00CF2263"/>
    <w:rsid w:val="00CF614F"/>
    <w:rsid w:val="00CF760D"/>
    <w:rsid w:val="00D008ED"/>
    <w:rsid w:val="00D01984"/>
    <w:rsid w:val="00D01EDA"/>
    <w:rsid w:val="00D10E21"/>
    <w:rsid w:val="00D1233F"/>
    <w:rsid w:val="00D16472"/>
    <w:rsid w:val="00D313BF"/>
    <w:rsid w:val="00D321C9"/>
    <w:rsid w:val="00D37FC2"/>
    <w:rsid w:val="00D43DB0"/>
    <w:rsid w:val="00D54894"/>
    <w:rsid w:val="00D570C5"/>
    <w:rsid w:val="00D621E4"/>
    <w:rsid w:val="00D63324"/>
    <w:rsid w:val="00D63B56"/>
    <w:rsid w:val="00D8025F"/>
    <w:rsid w:val="00D80B09"/>
    <w:rsid w:val="00D922CF"/>
    <w:rsid w:val="00D951B4"/>
    <w:rsid w:val="00DA09FE"/>
    <w:rsid w:val="00DA0B79"/>
    <w:rsid w:val="00DA32B3"/>
    <w:rsid w:val="00DA397F"/>
    <w:rsid w:val="00DA6734"/>
    <w:rsid w:val="00DB56B3"/>
    <w:rsid w:val="00DB7444"/>
    <w:rsid w:val="00DD5F54"/>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67366"/>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0843"/>
    <w:rsid w:val="00F03C9A"/>
    <w:rsid w:val="00F05E03"/>
    <w:rsid w:val="00F14373"/>
    <w:rsid w:val="00F2061A"/>
    <w:rsid w:val="00F256CF"/>
    <w:rsid w:val="00F30057"/>
    <w:rsid w:val="00F31EFD"/>
    <w:rsid w:val="00F34750"/>
    <w:rsid w:val="00F44CF6"/>
    <w:rsid w:val="00F46114"/>
    <w:rsid w:val="00F47B3A"/>
    <w:rsid w:val="00F602C8"/>
    <w:rsid w:val="00F62595"/>
    <w:rsid w:val="00F67173"/>
    <w:rsid w:val="00F7168A"/>
    <w:rsid w:val="00F71C13"/>
    <w:rsid w:val="00F77228"/>
    <w:rsid w:val="00F83DEE"/>
    <w:rsid w:val="00F90567"/>
    <w:rsid w:val="00F908EE"/>
    <w:rsid w:val="00F91352"/>
    <w:rsid w:val="00F922ED"/>
    <w:rsid w:val="00FB7ADE"/>
    <w:rsid w:val="00FB7D74"/>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9CBC9D"/>
  <w15:docId w15:val="{9138D631-F3D4-4F74-8885-63C040F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27"/>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styleId="Korrektur">
    <w:name w:val="Revision"/>
    <w:hidden/>
    <w:uiPriority w:val="99"/>
    <w:semiHidden/>
    <w:rsid w:val="007516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en2agr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aturstyrelsen.dk/media/209518/a_68-e-bo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1792</Words>
  <Characters>10495</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meb</dc:creator>
  <cp:keywords/>
  <dc:description/>
  <cp:lastModifiedBy>Merete Buus (NaturErhvervstyrelsen)</cp:lastModifiedBy>
  <cp:revision>3</cp:revision>
  <cp:lastPrinted>2018-02-21T12:07:00Z</cp:lastPrinted>
  <dcterms:created xsi:type="dcterms:W3CDTF">2018-03-14T12:01:00Z</dcterms:created>
  <dcterms:modified xsi:type="dcterms:W3CDTF">2018-03-14T12:03:00Z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Merete Buus WordEngine profil</vt:lpwstr>
  </property>
  <property fmtid="{D5CDD505-2E9C-101B-9397-08002B2CF9AE}" pid="14" name="SD_CtlText_Generelt_CaseNo">
    <vt:lpwstr>17-30411-000005</vt:lpwstr>
  </property>
  <property fmtid="{D5CDD505-2E9C-101B-9397-08002B2CF9AE}" pid="15" name="SD_UserprofileName">
    <vt:lpwstr>Merete Buus WordEngine profil</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LFST</vt:lpwstr>
  </property>
  <property fmtid="{D5CDD505-2E9C-101B-9397-08002B2CF9AE}" pid="19" name="SD_Office_OFF_ArtworkDefinition">
    <vt:lpwstr>MFVM</vt:lpwstr>
  </property>
  <property fmtid="{D5CDD505-2E9C-101B-9397-08002B2CF9AE}" pid="20" name="SD_Office_OFF_LogoFileName">
    <vt:lpwstr>LFST</vt:lpwstr>
  </property>
  <property fmtid="{D5CDD505-2E9C-101B-9397-08002B2CF9AE}" pid="21" name="SD_Office_OFF_Institution">
    <vt:lpwstr>Landbrugs- og Fiskeristyrelsen</vt:lpwstr>
  </property>
  <property fmtid="{D5CDD505-2E9C-101B-9397-08002B2CF9AE}" pid="22" name="SD_Office_OFF_Institution_EN">
    <vt:lpwstr>The Danish Agrifish Agency</vt:lpwstr>
  </property>
  <property fmtid="{D5CDD505-2E9C-101B-9397-08002B2CF9AE}" pid="23" name="SD_Office_OFF_kontor">
    <vt:lpwstr>Landbrugs- og Fiskeristyrelsen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mail@lfst.dk</vt:lpwstr>
  </property>
  <property fmtid="{D5CDD505-2E9C-101B-9397-08002B2CF9AE}" pid="37" name="SD_Office_OFF_Web">
    <vt:lpwstr>www.lfst.dk</vt:lpwstr>
  </property>
  <property fmtid="{D5CDD505-2E9C-101B-9397-08002B2CF9AE}" pid="38" name="SD_Office_OFF_CVR">
    <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Merete Buus (LFST)</vt:lpwstr>
  </property>
  <property fmtid="{D5CDD505-2E9C-101B-9397-08002B2CF9AE}" pid="42" name="USR_Initials">
    <vt:lpwstr>MEB</vt:lpwstr>
  </property>
  <property fmtid="{D5CDD505-2E9C-101B-9397-08002B2CF9AE}" pid="43" name="USR_Title">
    <vt:lpwstr>Specialkonsulent</vt:lpwstr>
  </property>
  <property fmtid="{D5CDD505-2E9C-101B-9397-08002B2CF9AE}" pid="44" name="USR_DirectPhone">
    <vt:lpwstr>+45 72 13 95 35</vt:lpwstr>
  </property>
  <property fmtid="{D5CDD505-2E9C-101B-9397-08002B2CF9AE}" pid="45" name="USR_Mobile">
    <vt:lpwstr>+45 45 26 37 20</vt:lpwstr>
  </property>
  <property fmtid="{D5CDD505-2E9C-101B-9397-08002B2CF9AE}" pid="46" name="USR_Email">
    <vt:lpwstr>meb@lfst.dk</vt:lpwstr>
  </property>
  <property fmtid="{D5CDD505-2E9C-101B-9397-08002B2CF9AE}" pid="47" name="DocumentInfoFinished">
    <vt:lpwstr>True</vt:lpwstr>
  </property>
  <property fmtid="{D5CDD505-2E9C-101B-9397-08002B2CF9AE}" pid="48" name="SD_DocumentLanguage">
    <vt:lpwstr>da-DK</vt:lpwstr>
  </property>
  <property fmtid="{D5CDD505-2E9C-101B-9397-08002B2CF9AE}" pid="49" name="sdDocumentDate">
    <vt:lpwstr>43052</vt:lpwstr>
  </property>
  <property fmtid="{D5CDD505-2E9C-101B-9397-08002B2CF9AE}" pid="50" name="sdDocumentDateFormat">
    <vt:lpwstr>da-DK:'Den' d. MMMM yyyy</vt:lpwstr>
  </property>
  <property fmtid="{D5CDD505-2E9C-101B-9397-08002B2CF9AE}" pid="51" name="SD_Office_OFF_Phone_EN">
    <vt:lpwstr>+45 33 95 80 00</vt:lpwstr>
  </property>
  <property fmtid="{D5CDD505-2E9C-101B-9397-08002B2CF9AE}" pid="52" name="SD_Office_OFF_Fax_EN">
    <vt:lpwstr/>
  </property>
  <property fmtid="{D5CDD505-2E9C-101B-9397-08002B2CF9AE}" pid="53" name="SD_Office_OFF_EAN_EN">
    <vt:lpwstr>5798000877955</vt:lpwstr>
  </property>
  <property fmtid="{D5CDD505-2E9C-101B-9397-08002B2CF9AE}" pid="54" name="LastCompletedArtworkDefinition">
    <vt:lpwstr>MFVM</vt:lpwstr>
  </property>
</Properties>
</file>